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971" w:type="dxa"/>
        <w:tblInd w:w="-252" w:type="dxa"/>
        <w:tblLayout w:type="fixed"/>
        <w:tblLook w:val="0000" w:firstRow="0" w:lastRow="0" w:firstColumn="0" w:lastColumn="0" w:noHBand="0" w:noVBand="0"/>
      </w:tblPr>
      <w:tblGrid>
        <w:gridCol w:w="3531"/>
        <w:gridCol w:w="373"/>
        <w:gridCol w:w="6067"/>
      </w:tblGrid>
      <w:tr w:rsidR="009C3AC3" w14:paraId="2FE3F2AA" w14:textId="77777777" w:rsidTr="00C01143">
        <w:trPr>
          <w:trHeight w:val="618"/>
        </w:trPr>
        <w:tc>
          <w:tcPr>
            <w:tcW w:w="3904" w:type="dxa"/>
            <w:gridSpan w:val="2"/>
          </w:tcPr>
          <w:p w14:paraId="328365A4" w14:textId="77777777"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ỦY BAN NHÂN DÂN</w:t>
            </w:r>
          </w:p>
          <w:p w14:paraId="75DF0F94" w14:textId="7BE8BBCE" w:rsidR="009C3AC3" w:rsidRDefault="00C01143">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69338326" wp14:editId="1B52C4DE">
                      <wp:simplePos x="0" y="0"/>
                      <wp:positionH relativeFrom="column">
                        <wp:posOffset>506075</wp:posOffset>
                      </wp:positionH>
                      <wp:positionV relativeFrom="paragraph">
                        <wp:posOffset>208204</wp:posOffset>
                      </wp:positionV>
                      <wp:extent cx="1330657" cy="0"/>
                      <wp:effectExtent l="38100" t="38100" r="60325" b="95250"/>
                      <wp:wrapNone/>
                      <wp:docPr id="111676755" name="Straight Connector 1"/>
                      <wp:cNvGraphicFramePr/>
                      <a:graphic xmlns:a="http://schemas.openxmlformats.org/drawingml/2006/main">
                        <a:graphicData uri="http://schemas.microsoft.com/office/word/2010/wordprocessingShape">
                          <wps:wsp>
                            <wps:cNvCnPr/>
                            <wps:spPr>
                              <a:xfrm>
                                <a:off x="0" y="0"/>
                                <a:ext cx="1330657"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BF36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85pt,16.4pt" to="144.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" strokecolor="black [3200]" strokeweight=".25pt">
                      <v:shadow on="t" color="black" opacity="24903f" origin=",.5" offset="0,.55556mm"/>
                    </v:line>
                  </w:pict>
                </mc:Fallback>
              </mc:AlternateContent>
            </w:r>
            <w:r w:rsidR="00121A37">
              <w:rPr>
                <w:rFonts w:ascii="Times New Roman" w:eastAsia="Times New Roman" w:hAnsi="Times New Roman" w:cs="Times New Roman"/>
                <w:b/>
                <w:sz w:val="28"/>
                <w:szCs w:val="28"/>
              </w:rPr>
              <w:t>THÀNH PHỐ HỒ CHÍ MINH</w:t>
            </w:r>
          </w:p>
          <w:p w14:paraId="09659A27" w14:textId="69B46F78" w:rsidR="009C3AC3" w:rsidRDefault="009C3AC3">
            <w:pPr>
              <w:ind w:left="1" w:hanging="3"/>
              <w:jc w:val="center"/>
              <w:rPr>
                <w:rFonts w:ascii="Times New Roman" w:eastAsia="Times New Roman" w:hAnsi="Times New Roman" w:cs="Times New Roman"/>
                <w:sz w:val="28"/>
                <w:szCs w:val="28"/>
              </w:rPr>
            </w:pPr>
          </w:p>
        </w:tc>
        <w:tc>
          <w:tcPr>
            <w:tcW w:w="6067" w:type="dxa"/>
          </w:tcPr>
          <w:p w14:paraId="19D78789" w14:textId="77777777"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CỘNG HÒA XÃ HỘI CHỦ NGHĨA VIỆT NAM</w:t>
            </w:r>
          </w:p>
          <w:p w14:paraId="7C77638A" w14:textId="29C420AE"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Độc lập - Tự do - Hạnh phúc</w:t>
            </w:r>
          </w:p>
          <w:p w14:paraId="0B329DFF" w14:textId="64266C61" w:rsidR="009C3AC3" w:rsidRDefault="00C01143">
            <w:pPr>
              <w:ind w:left="1" w:hanging="3"/>
              <w:jc w:val="center"/>
              <w:rPr>
                <w:rFonts w:ascii="Times New Roman" w:eastAsia="Times New Roman" w:hAnsi="Times New Roman" w:cs="Times New Roman"/>
                <w:color w:val="FFFFFF"/>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2ABE0B1E" wp14:editId="45BD9639">
                      <wp:simplePos x="0" y="0"/>
                      <wp:positionH relativeFrom="column">
                        <wp:posOffset>746921</wp:posOffset>
                      </wp:positionH>
                      <wp:positionV relativeFrom="paragraph">
                        <wp:posOffset>14540</wp:posOffset>
                      </wp:positionV>
                      <wp:extent cx="2206957" cy="0"/>
                      <wp:effectExtent l="38100" t="38100" r="60325" b="95250"/>
                      <wp:wrapNone/>
                      <wp:docPr id="532291188" name="Straight Connector 1"/>
                      <wp:cNvGraphicFramePr/>
                      <a:graphic xmlns:a="http://schemas.openxmlformats.org/drawingml/2006/main">
                        <a:graphicData uri="http://schemas.microsoft.com/office/word/2010/wordprocessingShape">
                          <wps:wsp>
                            <wps:cNvCnPr/>
                            <wps:spPr>
                              <a:xfrm>
                                <a:off x="0" y="0"/>
                                <a:ext cx="2206957"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141B2"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1.15pt" to="232.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" strokecolor="black [3200]" strokeweight=".25pt">
                      <v:shadow on="t" color="black" opacity="24903f" origin=",.5" offset="0,.55556mm"/>
                    </v:line>
                  </w:pict>
                </mc:Fallback>
              </mc:AlternateContent>
            </w:r>
            <w:r w:rsidR="00121A37">
              <w:rPr>
                <w:rFonts w:ascii="Times New Roman" w:eastAsia="Times New Roman" w:hAnsi="Times New Roman" w:cs="Times New Roman"/>
                <w:color w:val="FFFFFF"/>
                <w:sz w:val="28"/>
                <w:szCs w:val="28"/>
              </w:rPr>
              <w:t>PD</w:t>
            </w:r>
            <w:r w:rsidR="00121A37">
              <w:rPr>
                <w:noProof/>
              </w:rPr>
              <mc:AlternateContent>
                <mc:Choice Requires="wps">
                  <w:drawing>
                    <wp:anchor distT="0" distB="0" distL="114300" distR="114300" simplePos="0" relativeHeight="251656192" behindDoc="0" locked="0" layoutInCell="1" hidden="0" allowOverlap="1" wp14:anchorId="094D8007" wp14:editId="7D353141">
                      <wp:simplePos x="0" y="0"/>
                      <wp:positionH relativeFrom="column">
                        <wp:posOffset>876300</wp:posOffset>
                      </wp:positionH>
                      <wp:positionV relativeFrom="paragraph">
                        <wp:posOffset>12700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8438" y="3780000"/>
                                <a:ext cx="1935125" cy="0"/>
                              </a:xfrm>
                              <a:prstGeom prst="straightConnector1">
                                <a:avLst/>
                              </a:prstGeom>
                              <a:noFill/>
                              <a:ln>
                                <a:noFill/>
                              </a:ln>
                            </wps:spPr>
                            <wps:bodyPr/>
                          </wps:wsp>
                        </a:graphicData>
                      </a:graphic>
                    </wp:anchor>
                  </w:drawing>
                </mc:Choice>
                <mc:Fallback>
                  <w:pict>
                    <v:shapetype w14:anchorId="10F7FACF" id="_x0000_t32" coordsize="21600,21600" o:spt="32" o:oned="t" path="m,l21600,21600e" filled="f">
                      <v:path arrowok="t" fillok="f" o:connecttype="none"/>
                      <o:lock v:ext="edit" shapetype="t"/>
                    </v:shapetype>
                    <v:shape id="Straight Arrow Connector 1" o:spid="_x0000_s1026" type="#_x0000_t32" style="position:absolute;margin-left:69pt;margin-top:1pt;width:0;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" stroked="f"/>
                  </w:pict>
                </mc:Fallback>
              </mc:AlternateContent>
            </w:r>
          </w:p>
        </w:tc>
      </w:tr>
      <w:tr w:rsidR="009C3AC3" w14:paraId="72996828" w14:textId="77777777" w:rsidTr="00C01143">
        <w:trPr>
          <w:trHeight w:val="783"/>
        </w:trPr>
        <w:tc>
          <w:tcPr>
            <w:tcW w:w="3531" w:type="dxa"/>
          </w:tcPr>
          <w:p w14:paraId="56E131FB" w14:textId="239AA53F" w:rsidR="009C3AC3" w:rsidRDefault="00121A37" w:rsidP="00C01143">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/TTr-UBND</w:t>
            </w:r>
          </w:p>
          <w:p w14:paraId="18475C4D" w14:textId="1D28BD1C" w:rsidR="009C3AC3" w:rsidRDefault="00431F27" w:rsidP="00C01143">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3120" behindDoc="0" locked="0" layoutInCell="1" allowOverlap="1" wp14:anchorId="6A753FAB" wp14:editId="548B1E53">
                      <wp:simplePos x="0" y="0"/>
                      <wp:positionH relativeFrom="column">
                        <wp:posOffset>630555</wp:posOffset>
                      </wp:positionH>
                      <wp:positionV relativeFrom="paragraph">
                        <wp:posOffset>91440</wp:posOffset>
                      </wp:positionV>
                      <wp:extent cx="1054100" cy="27940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1054100" cy="279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0889E90" w14:textId="77777777" w:rsidR="00431F27" w:rsidRDefault="00431F27" w:rsidP="00431F27">
                                  <w:pPr>
                                    <w:spacing w:line="240" w:lineRule="auto"/>
                                    <w:ind w:left="0" w:hanging="2"/>
                                    <w:jc w:val="center"/>
                                  </w:pPr>
                                  <w:r>
                                    <w:rPr>
                                      <w:rFonts w:ascii="Times New Roman" w:eastAsia="Times New Roman" w:hAnsi="Times New Roman" w:cs="Times New Roman"/>
                                      <w:b/>
                                      <w:color w:val="000000"/>
                                    </w:rPr>
                                    <w:t>DỰ THẢO</w:t>
                                  </w:r>
                                </w:p>
                                <w:p w14:paraId="49D9F173" w14:textId="77777777" w:rsidR="00431F27" w:rsidRDefault="00431F27" w:rsidP="00431F27">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753FAB" id="Rectangle 6" o:spid="_x0000_s1026" style="position:absolute;left:0;text-align:left;margin-left:49.65pt;margin-top:7.2pt;width:83pt;height:2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" filled="f" strokecolor="black [3213]">
                      <v:textbox>
                        <w:txbxContent>
                          <w:p w14:paraId="20889E90" w14:textId="77777777" w:rsidR="00431F27" w:rsidRDefault="00431F27" w:rsidP="00431F27">
                            <w:pPr>
                              <w:spacing w:line="240" w:lineRule="auto"/>
                              <w:ind w:left="0" w:hanging="2"/>
                              <w:jc w:val="center"/>
                            </w:pPr>
                            <w:r>
                              <w:rPr>
                                <w:rFonts w:ascii="Times New Roman" w:eastAsia="Times New Roman" w:hAnsi="Times New Roman" w:cs="Times New Roman"/>
                                <w:b/>
                                <w:color w:val="000000"/>
                              </w:rPr>
                              <w:t>DỰ THẢO</w:t>
                            </w:r>
                          </w:p>
                          <w:p w14:paraId="49D9F173" w14:textId="77777777" w:rsidR="00431F27" w:rsidRDefault="00431F27" w:rsidP="00431F27">
                            <w:pPr>
                              <w:ind w:left="0" w:hanging="2"/>
                              <w:jc w:val="center"/>
                            </w:pPr>
                          </w:p>
                        </w:txbxContent>
                      </v:textbox>
                    </v:rect>
                  </w:pict>
                </mc:Fallback>
              </mc:AlternateContent>
            </w:r>
          </w:p>
        </w:tc>
        <w:tc>
          <w:tcPr>
            <w:tcW w:w="6440" w:type="dxa"/>
            <w:gridSpan w:val="2"/>
          </w:tcPr>
          <w:p w14:paraId="04ACC1F4" w14:textId="53150D84" w:rsidR="009C3AC3" w:rsidRDefault="00121A37" w:rsidP="00C01143">
            <w:pPr>
              <w:pStyle w:val="Heading2"/>
              <w:ind w:left="1" w:hanging="3"/>
              <w:rPr>
                <w:rFonts w:ascii="Times New Roman" w:eastAsia="Times New Roman" w:hAnsi="Times New Roman" w:cs="Times New Roman"/>
                <w:b w:val="0"/>
                <w:sz w:val="28"/>
                <w:szCs w:val="28"/>
              </w:rPr>
            </w:pPr>
            <w:r>
              <w:rPr>
                <w:rFonts w:ascii="Times New Roman" w:eastAsia="Times New Roman" w:hAnsi="Times New Roman" w:cs="Times New Roman"/>
                <w:b w:val="0"/>
                <w:i/>
                <w:sz w:val="28"/>
                <w:szCs w:val="28"/>
              </w:rPr>
              <w:t xml:space="preserve">Thành phố Hồ Chí Minh, ngày     tháng </w:t>
            </w:r>
            <w:r w:rsidR="00091A5C">
              <w:rPr>
                <w:rFonts w:ascii="Times New Roman" w:eastAsia="Times New Roman" w:hAnsi="Times New Roman" w:cs="Times New Roman"/>
                <w:b w:val="0"/>
                <w:i/>
                <w:sz w:val="28"/>
                <w:szCs w:val="28"/>
              </w:rPr>
              <w:t xml:space="preserve">  </w:t>
            </w:r>
            <w:r>
              <w:rPr>
                <w:rFonts w:ascii="Times New Roman" w:eastAsia="Times New Roman" w:hAnsi="Times New Roman" w:cs="Times New Roman"/>
                <w:b w:val="0"/>
                <w:i/>
                <w:sz w:val="28"/>
                <w:szCs w:val="28"/>
              </w:rPr>
              <w:t xml:space="preserve"> năm 202</w:t>
            </w:r>
            <w:r w:rsidR="00C01143">
              <w:rPr>
                <w:rFonts w:ascii="Times New Roman" w:eastAsia="Times New Roman" w:hAnsi="Times New Roman" w:cs="Times New Roman"/>
                <w:b w:val="0"/>
                <w:i/>
                <w:sz w:val="28"/>
                <w:szCs w:val="28"/>
              </w:rPr>
              <w:t>4</w:t>
            </w:r>
            <w:r>
              <w:rPr>
                <w:rFonts w:ascii="Times New Roman" w:eastAsia="Times New Roman" w:hAnsi="Times New Roman" w:cs="Times New Roman"/>
                <w:b w:val="0"/>
                <w:sz w:val="28"/>
                <w:szCs w:val="28"/>
              </w:rPr>
              <w:tab/>
            </w:r>
          </w:p>
        </w:tc>
      </w:tr>
    </w:tbl>
    <w:p w14:paraId="023DC16B" w14:textId="2AF7CCAE" w:rsidR="009C3AC3" w:rsidRDefault="00121A37" w:rsidP="009804C3">
      <w:pPr>
        <w:spacing w:before="60"/>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TỜ TRÌNH</w:t>
      </w:r>
    </w:p>
    <w:p w14:paraId="1631D527" w14:textId="63AFDF1B" w:rsidR="009C3AC3" w:rsidRDefault="00E16D9D" w:rsidP="00063EDC">
      <w:pPr>
        <w:keepNext/>
        <w:widowControl w:val="0"/>
        <w:spacing w:before="120" w:after="240"/>
        <w:ind w:left="1" w:right="-142"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Dự thảo</w:t>
      </w:r>
      <w:r w:rsidR="00121A37">
        <w:rPr>
          <w:rFonts w:ascii="Times New Roman" w:eastAsia="Times New Roman" w:hAnsi="Times New Roman" w:cs="Times New Roman"/>
          <w:b/>
          <w:sz w:val="28"/>
          <w:szCs w:val="28"/>
        </w:rPr>
        <w:t xml:space="preserve"> Nghị quyết </w:t>
      </w:r>
      <w:r w:rsidR="00C325DE" w:rsidRPr="00C325DE">
        <w:rPr>
          <w:rFonts w:ascii="Times New Roman" w:eastAsia="Times New Roman" w:hAnsi="Times New Roman" w:cs="Times New Roman"/>
          <w:b/>
          <w:sz w:val="28"/>
          <w:szCs w:val="28"/>
        </w:rPr>
        <w:t xml:space="preserve">quy định mức học phí đối với giáo dục mầm non, </w:t>
      </w:r>
      <w:r w:rsidR="00C325DE">
        <w:rPr>
          <w:rFonts w:ascii="Times New Roman" w:eastAsia="Times New Roman" w:hAnsi="Times New Roman" w:cs="Times New Roman"/>
          <w:b/>
          <w:sz w:val="28"/>
          <w:szCs w:val="28"/>
        </w:rPr>
        <w:br/>
      </w:r>
      <w:r w:rsidR="00C325DE" w:rsidRPr="00C325DE">
        <w:rPr>
          <w:rFonts w:ascii="Times New Roman" w:eastAsia="Times New Roman" w:hAnsi="Times New Roman" w:cs="Times New Roman"/>
          <w:b/>
          <w:sz w:val="28"/>
          <w:szCs w:val="28"/>
        </w:rPr>
        <w:t>giáo dục phổ thông công lập từ năm học 2024-2025 và các năm học tiếp theo trên địa bàn Thành phố Hồ Chí Minh</w:t>
      </w:r>
    </w:p>
    <w:p w14:paraId="10CB0440" w14:textId="3CA553E1" w:rsidR="009C3AC3" w:rsidRDefault="00932F66">
      <w:pPr>
        <w:pBdr>
          <w:top w:val="nil"/>
          <w:left w:val="nil"/>
          <w:bottom w:val="nil"/>
          <w:right w:val="nil"/>
          <w:between w:val="nil"/>
        </w:pBdr>
        <w:tabs>
          <w:tab w:val="left" w:pos="1080"/>
        </w:tabs>
        <w:spacing w:before="240" w:after="24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F660B0A" wp14:editId="63E86E6E">
                <wp:simplePos x="0" y="0"/>
                <wp:positionH relativeFrom="column">
                  <wp:posOffset>2111375</wp:posOffset>
                </wp:positionH>
                <wp:positionV relativeFrom="paragraph">
                  <wp:posOffset>3810</wp:posOffset>
                </wp:positionV>
                <wp:extent cx="184661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46613"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00DF02"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25pt,.3pt" to="3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" strokecolor="black [3200]" strokeweight=".5pt"/>
            </w:pict>
          </mc:Fallback>
        </mc:AlternateContent>
      </w:r>
      <w:r w:rsidR="00121A37">
        <w:rPr>
          <w:noProof/>
        </w:rPr>
        <mc:AlternateContent>
          <mc:Choice Requires="wps">
            <w:drawing>
              <wp:anchor distT="0" distB="0" distL="114300" distR="114300" simplePos="0" relativeHeight="251661312" behindDoc="0" locked="0" layoutInCell="1" hidden="0" allowOverlap="1" wp14:anchorId="58A38BB2" wp14:editId="153323ED">
                <wp:simplePos x="0" y="0"/>
                <wp:positionH relativeFrom="column">
                  <wp:posOffset>1968500</wp:posOffset>
                </wp:positionH>
                <wp:positionV relativeFrom="paragraph">
                  <wp:posOffset>50800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378438" y="3780000"/>
                          <a:ext cx="1935125" cy="0"/>
                        </a:xfrm>
                        <a:prstGeom prst="straightConnector1">
                          <a:avLst/>
                        </a:prstGeom>
                        <a:noFill/>
                        <a:ln>
                          <a:noFill/>
                        </a:ln>
                      </wps:spPr>
                      <wps:bodyPr/>
                    </wps:wsp>
                  </a:graphicData>
                </a:graphic>
              </wp:anchor>
            </w:drawing>
          </mc:Choice>
          <mc:Fallback>
            <w:pict>
              <v:shape w14:anchorId="20A46B7C" id="Straight Arrow Connector 3" o:spid="_x0000_s1026" type="#_x0000_t32" style="position:absolute;margin-left:155pt;margin-top:4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" stroked="f"/>
            </w:pict>
          </mc:Fallback>
        </mc:AlternateContent>
      </w:r>
    </w:p>
    <w:p w14:paraId="576ED5E1" w14:textId="1EDC83C7" w:rsidR="009C3AC3" w:rsidRDefault="00121A37">
      <w:pPr>
        <w:pBdr>
          <w:top w:val="nil"/>
          <w:left w:val="nil"/>
          <w:bottom w:val="nil"/>
          <w:right w:val="nil"/>
          <w:between w:val="nil"/>
        </w:pBdr>
        <w:tabs>
          <w:tab w:val="left" w:pos="1080"/>
        </w:tabs>
        <w:spacing w:before="240" w:after="24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Hội đồng nhân dân thành phố</w:t>
      </w:r>
    </w:p>
    <w:p w14:paraId="5992484D" w14:textId="5F0060AE" w:rsidR="006F6E23" w:rsidRPr="006F6E23" w:rsidRDefault="006F6E23" w:rsidP="00372BAE">
      <w:pPr>
        <w:pBdr>
          <w:top w:val="nil"/>
          <w:left w:val="nil"/>
          <w:bottom w:val="nil"/>
          <w:right w:val="nil"/>
          <w:between w:val="nil"/>
        </w:pBdr>
        <w:tabs>
          <w:tab w:val="left" w:pos="1080"/>
        </w:tabs>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6F6E23">
        <w:rPr>
          <w:rFonts w:ascii="Times New Roman" w:eastAsia="Times New Roman" w:hAnsi="Times New Roman" w:cs="Times New Roman"/>
          <w:color w:val="000000"/>
          <w:sz w:val="28"/>
          <w:szCs w:val="28"/>
        </w:rPr>
        <w:t xml:space="preserve">Xét </w:t>
      </w:r>
      <w:r>
        <w:rPr>
          <w:rFonts w:ascii="Times New Roman" w:eastAsia="Times New Roman" w:hAnsi="Times New Roman" w:cs="Times New Roman"/>
          <w:color w:val="000000"/>
          <w:sz w:val="28"/>
          <w:szCs w:val="28"/>
        </w:rPr>
        <w:t>Tờ trình</w:t>
      </w:r>
      <w:r w:rsidRPr="006F6E23">
        <w:rPr>
          <w:rFonts w:ascii="Times New Roman" w:eastAsia="Times New Roman" w:hAnsi="Times New Roman" w:cs="Times New Roman"/>
          <w:color w:val="000000"/>
          <w:sz w:val="28"/>
          <w:szCs w:val="28"/>
        </w:rPr>
        <w:t xml:space="preserve"> số </w:t>
      </w:r>
      <w:r>
        <w:rPr>
          <w:rFonts w:ascii="Times New Roman" w:eastAsia="Times New Roman" w:hAnsi="Times New Roman" w:cs="Times New Roman"/>
          <w:color w:val="000000"/>
          <w:sz w:val="28"/>
          <w:szCs w:val="28"/>
        </w:rPr>
        <w:t>…</w:t>
      </w:r>
      <w:r w:rsidRPr="006F6E2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TTr-</w:t>
      </w:r>
      <w:r w:rsidRPr="006F6E23">
        <w:rPr>
          <w:rFonts w:ascii="Times New Roman" w:eastAsia="Times New Roman" w:hAnsi="Times New Roman" w:cs="Times New Roman"/>
          <w:color w:val="000000"/>
          <w:sz w:val="28"/>
          <w:szCs w:val="28"/>
        </w:rPr>
        <w:t>SGDĐT</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năm 202</w:t>
      </w:r>
      <w:r w:rsidR="0092608E">
        <w:rPr>
          <w:rFonts w:ascii="Times New Roman" w:eastAsia="Times New Roman" w:hAnsi="Times New Roman" w:cs="Times New Roman"/>
          <w:color w:val="000000"/>
          <w:sz w:val="28"/>
          <w:szCs w:val="28"/>
        </w:rPr>
        <w:t>4</w:t>
      </w:r>
      <w:r w:rsidRPr="006F6E23">
        <w:rPr>
          <w:rFonts w:ascii="Times New Roman" w:eastAsia="Times New Roman" w:hAnsi="Times New Roman" w:cs="Times New Roman"/>
          <w:color w:val="000000"/>
          <w:sz w:val="28"/>
          <w:szCs w:val="28"/>
        </w:rPr>
        <w:t xml:space="preserve"> của Sở Giáo dục và Đào tạo, ý kiến thẩm định của Sở Tư pháp tại Báo cáo số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/BC-STP 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năm 202</w:t>
      </w:r>
      <w:r w:rsidR="0092608E">
        <w:rPr>
          <w:rFonts w:ascii="Times New Roman" w:eastAsia="Times New Roman" w:hAnsi="Times New Roman" w:cs="Times New Roman"/>
          <w:color w:val="000000"/>
          <w:sz w:val="28"/>
          <w:szCs w:val="28"/>
        </w:rPr>
        <w:t>4</w:t>
      </w:r>
      <w:r w:rsidRPr="006F6E23">
        <w:rPr>
          <w:rFonts w:ascii="Times New Roman" w:eastAsia="Times New Roman" w:hAnsi="Times New Roman" w:cs="Times New Roman"/>
          <w:color w:val="000000"/>
          <w:sz w:val="28"/>
          <w:szCs w:val="28"/>
        </w:rPr>
        <w:t xml:space="preserve"> và ý kiến của Sở Tài chính tại Công văn số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/STC-HCSN 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năm 202</w:t>
      </w:r>
      <w:r w:rsidR="0092608E">
        <w:rPr>
          <w:rFonts w:ascii="Times New Roman" w:eastAsia="Times New Roman" w:hAnsi="Times New Roman" w:cs="Times New Roman"/>
          <w:color w:val="000000"/>
          <w:sz w:val="28"/>
          <w:szCs w:val="28"/>
        </w:rPr>
        <w:t>4</w:t>
      </w:r>
      <w:r w:rsidRPr="006F6E23">
        <w:rPr>
          <w:rFonts w:ascii="Times New Roman" w:eastAsia="Times New Roman" w:hAnsi="Times New Roman" w:cs="Times New Roman"/>
          <w:color w:val="000000"/>
          <w:sz w:val="28"/>
          <w:szCs w:val="28"/>
        </w:rPr>
        <w:t xml:space="preserve">; </w:t>
      </w:r>
    </w:p>
    <w:p w14:paraId="0CB83D24" w14:textId="517ADA98" w:rsidR="00F37380" w:rsidRDefault="006F6E23" w:rsidP="002D63D3">
      <w:pPr>
        <w:pBdr>
          <w:top w:val="nil"/>
          <w:left w:val="nil"/>
          <w:bottom w:val="nil"/>
          <w:right w:val="nil"/>
          <w:between w:val="nil"/>
        </w:pBdr>
        <w:tabs>
          <w:tab w:val="left" w:pos="1080"/>
        </w:tabs>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E16D9D" w:rsidRPr="00E16D9D">
        <w:rPr>
          <w:rFonts w:ascii="Times New Roman" w:eastAsia="Times New Roman" w:hAnsi="Times New Roman" w:cs="Times New Roman"/>
          <w:color w:val="000000"/>
          <w:sz w:val="28"/>
          <w:szCs w:val="28"/>
        </w:rPr>
        <w:t xml:space="preserve">Thực hiện quy định của Luật Ban hành văn bản quy phạm pháp luật </w:t>
      </w:r>
      <w:r w:rsidR="00E16D9D" w:rsidRPr="006F6E23">
        <w:rPr>
          <w:rFonts w:ascii="Times New Roman" w:eastAsia="Times New Roman" w:hAnsi="Times New Roman" w:cs="Times New Roman"/>
          <w:color w:val="000000"/>
          <w:sz w:val="28"/>
          <w:szCs w:val="28"/>
        </w:rPr>
        <w:t xml:space="preserve">Ủy ban nhân dân Thành phố </w:t>
      </w:r>
      <w:r w:rsidR="00E16D9D" w:rsidRPr="00E16D9D">
        <w:rPr>
          <w:rFonts w:ascii="Times New Roman" w:eastAsia="Times New Roman" w:hAnsi="Times New Roman" w:cs="Times New Roman"/>
          <w:color w:val="000000"/>
          <w:sz w:val="28"/>
          <w:szCs w:val="28"/>
        </w:rPr>
        <w:t xml:space="preserve">kính trình </w:t>
      </w:r>
      <w:r w:rsidR="00E16D9D" w:rsidRPr="006F6E23">
        <w:rPr>
          <w:rFonts w:ascii="Times New Roman" w:eastAsia="Times New Roman" w:hAnsi="Times New Roman" w:cs="Times New Roman"/>
          <w:color w:val="000000"/>
          <w:sz w:val="28"/>
          <w:szCs w:val="28"/>
        </w:rPr>
        <w:t xml:space="preserve">Hội đồng nhân dân Thành phố </w:t>
      </w:r>
      <w:r w:rsidR="00E16D9D" w:rsidRPr="00E16D9D">
        <w:rPr>
          <w:rFonts w:ascii="Times New Roman" w:eastAsia="Times New Roman" w:hAnsi="Times New Roman" w:cs="Times New Roman"/>
          <w:color w:val="000000"/>
          <w:sz w:val="28"/>
          <w:szCs w:val="28"/>
        </w:rPr>
        <w:t xml:space="preserve">dự thảo </w:t>
      </w:r>
      <w:r w:rsidRPr="006F6E23">
        <w:rPr>
          <w:rFonts w:ascii="Times New Roman" w:eastAsia="Times New Roman" w:hAnsi="Times New Roman" w:cs="Times New Roman"/>
          <w:color w:val="000000"/>
          <w:sz w:val="28"/>
          <w:szCs w:val="28"/>
        </w:rPr>
        <w:t xml:space="preserve">Nghị quyết </w:t>
      </w:r>
      <w:r w:rsidR="00C325DE" w:rsidRPr="00C325DE">
        <w:rPr>
          <w:rFonts w:ascii="Times New Roman" w:eastAsia="Times New Roman" w:hAnsi="Times New Roman" w:cs="Times New Roman"/>
          <w:color w:val="000000"/>
          <w:sz w:val="28"/>
          <w:szCs w:val="28"/>
        </w:rPr>
        <w:t>quy định mức học phí đối với giáo dục mầm non, giáo dục phổ thông công lập từ năm học 2024-2025 và các năm học tiếp theo trên địa bàn Thành phố Hồ Chí Minh</w:t>
      </w:r>
      <w:r w:rsidR="0092608E">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như sau:</w:t>
      </w:r>
    </w:p>
    <w:p w14:paraId="520FEF48" w14:textId="1A9C2654"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 </w:t>
      </w:r>
      <w:r w:rsidR="002418E6">
        <w:rPr>
          <w:rFonts w:ascii="Times New Roman" w:eastAsia="Times New Roman" w:hAnsi="Times New Roman" w:cs="Times New Roman"/>
          <w:b/>
          <w:color w:val="000000"/>
          <w:sz w:val="28"/>
          <w:szCs w:val="28"/>
        </w:rPr>
        <w:t xml:space="preserve">SỰ CẦN THIẾT BAN HÀNH VĂN BẢN </w:t>
      </w:r>
    </w:p>
    <w:p w14:paraId="485B6F21" w14:textId="6E54F3DF" w:rsidR="009C3AC3" w:rsidRDefault="00121A37" w:rsidP="00902D15">
      <w:pPr>
        <w:tabs>
          <w:tab w:val="center" w:pos="567"/>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w:t>
      </w:r>
      <w:r w:rsidR="002418E6">
        <w:rPr>
          <w:rFonts w:ascii="Times New Roman" w:eastAsia="Times New Roman" w:hAnsi="Times New Roman" w:cs="Times New Roman"/>
          <w:b/>
          <w:sz w:val="28"/>
          <w:szCs w:val="28"/>
        </w:rPr>
        <w:t>Cơ sở chính trị,</w:t>
      </w:r>
      <w:r>
        <w:rPr>
          <w:rFonts w:ascii="Times New Roman" w:eastAsia="Times New Roman" w:hAnsi="Times New Roman" w:cs="Times New Roman"/>
          <w:b/>
          <w:sz w:val="28"/>
          <w:szCs w:val="28"/>
        </w:rPr>
        <w:t xml:space="preserve"> pháp lý</w:t>
      </w:r>
    </w:p>
    <w:p w14:paraId="1AC1DEB2" w14:textId="1E3C6713" w:rsidR="00B43E9F" w:rsidRDefault="00B43E9F"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Cơ sở chính trị</w:t>
      </w:r>
    </w:p>
    <w:p w14:paraId="6CDBB797" w14:textId="7B6A4ABC" w:rsidR="00B43E9F" w:rsidRDefault="006C31F4" w:rsidP="00902D15">
      <w:pPr>
        <w:spacing w:before="120" w:after="120" w:line="240" w:lineRule="auto"/>
        <w:ind w:leftChars="0" w:left="1" w:firstLineChars="251" w:firstLine="703"/>
        <w:jc w:val="both"/>
        <w:rPr>
          <w:rFonts w:ascii="Times New Roman" w:eastAsia="Times New Roman" w:hAnsi="Times New Roman" w:cs="Times New Roman"/>
          <w:i/>
          <w:iCs/>
          <w:sz w:val="28"/>
          <w:szCs w:val="28"/>
        </w:rPr>
      </w:pPr>
      <w:r w:rsidRPr="006C31F4">
        <w:rPr>
          <w:rFonts w:ascii="Times New Roman" w:eastAsia="Times New Roman" w:hAnsi="Times New Roman" w:cs="Times New Roman"/>
          <w:sz w:val="28"/>
          <w:szCs w:val="28"/>
        </w:rPr>
        <w:t xml:space="preserve">Cương lĩnh (bổ sung và phát triển năm 2011) đã đưa ra những quan điểm, định hướng lớn về phát triển giáo dục và đào tạo, chỉ rõ: </w:t>
      </w:r>
      <w:r w:rsidRPr="006C31F4">
        <w:rPr>
          <w:rFonts w:ascii="Times New Roman" w:eastAsia="Times New Roman" w:hAnsi="Times New Roman" w:cs="Times New Roman"/>
          <w:i/>
          <w:iCs/>
          <w:sz w:val="28"/>
          <w:szCs w:val="28"/>
        </w:rPr>
        <w:t>“Phát triển giáo dục và đào tạo cùng với phát triển khoa học và công nghệ là quốc sách hàng đầu; đầu tư cho giáo dục và đào tạo là đầu tư cho phát triển. Đổi mới căn bản và toàn diện giáo dục và đào tạo theo nhu cầu phát triển của xã hội”</w:t>
      </w:r>
    </w:p>
    <w:p w14:paraId="79D8E5E6" w14:textId="77777777" w:rsidR="007B10B9" w:rsidRPr="005D3578" w:rsidRDefault="007B10B9" w:rsidP="007B10B9">
      <w:pPr>
        <w:spacing w:before="120" w:after="120" w:line="240" w:lineRule="auto"/>
        <w:ind w:leftChars="0" w:firstLineChars="251" w:firstLine="703"/>
        <w:jc w:val="both"/>
        <w:rPr>
          <w:rFonts w:ascii="Times New Roman" w:eastAsia="Times New Roman" w:hAnsi="Times New Roman" w:cs="Times New Roman"/>
          <w:i/>
          <w:iCs/>
          <w:sz w:val="28"/>
          <w:szCs w:val="28"/>
        </w:rPr>
      </w:pPr>
      <w:r w:rsidRPr="005D3578">
        <w:rPr>
          <w:rFonts w:ascii="Times New Roman" w:eastAsia="Times New Roman" w:hAnsi="Times New Roman" w:cs="Times New Roman"/>
          <w:sz w:val="28"/>
          <w:szCs w:val="28"/>
        </w:rPr>
        <w:t xml:space="preserve">Nghị quyết số 29-NQ/TW ngày </w:t>
      </w:r>
      <w:r>
        <w:rPr>
          <w:rFonts w:ascii="Times New Roman" w:eastAsia="Times New Roman" w:hAnsi="Times New Roman" w:cs="Times New Roman"/>
          <w:sz w:val="28"/>
          <w:szCs w:val="28"/>
        </w:rPr>
        <w:t>0</w:t>
      </w:r>
      <w:r w:rsidRPr="005D357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tháng </w:t>
      </w:r>
      <w:r w:rsidRPr="005D3578">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1 năm </w:t>
      </w:r>
      <w:r w:rsidRPr="005D3578">
        <w:rPr>
          <w:rFonts w:ascii="Times New Roman" w:eastAsia="Times New Roman" w:hAnsi="Times New Roman" w:cs="Times New Roman"/>
          <w:sz w:val="28"/>
          <w:szCs w:val="28"/>
        </w:rPr>
        <w:t xml:space="preserve">2013 </w:t>
      </w:r>
      <w:r>
        <w:rPr>
          <w:rFonts w:ascii="Times New Roman" w:eastAsia="Times New Roman" w:hAnsi="Times New Roman" w:cs="Times New Roman"/>
          <w:sz w:val="28"/>
          <w:szCs w:val="28"/>
        </w:rPr>
        <w:t>v</w:t>
      </w:r>
      <w:r w:rsidRPr="005D3578">
        <w:rPr>
          <w:rFonts w:ascii="Times New Roman" w:eastAsia="Times New Roman" w:hAnsi="Times New Roman" w:cs="Times New Roman"/>
          <w:sz w:val="28"/>
          <w:szCs w:val="28"/>
        </w:rPr>
        <w:t>ề đổi mới căn bản, toàn diện giáo dục và đào tạo, đáp ứng yêu cầu công nghiệp hóa, hiện đại hóa trong điều kiện kinh tế thị trường định hướng xã hội chủ nghĩa và hội nhập quốc tế đã được Hội nghị Trung ương 8 (khóa XI) thông qua</w:t>
      </w:r>
      <w:r>
        <w:rPr>
          <w:rFonts w:ascii="Times New Roman" w:eastAsia="Times New Roman" w:hAnsi="Times New Roman" w:cs="Times New Roman"/>
          <w:sz w:val="28"/>
          <w:szCs w:val="28"/>
        </w:rPr>
        <w:t xml:space="preserve">. </w:t>
      </w:r>
      <w:r w:rsidRPr="005D3578">
        <w:rPr>
          <w:rFonts w:ascii="Times New Roman" w:eastAsia="Times New Roman" w:hAnsi="Times New Roman" w:cs="Times New Roman"/>
          <w:sz w:val="28"/>
          <w:szCs w:val="28"/>
        </w:rPr>
        <w:t>Quan điểm chỉ đạo của Nghị quyết là Giáo dục và đào tạo là quốc sách hàng đầu, là sự nghiệp của Đảng, Nhà nước và của toàn dân. Đầu tư cho giáo dục là đầu tư phát triển, được ưu tiên đi trước trong các chương trình, kế hoạch phát triển kinh tế-xã hội.</w:t>
      </w:r>
      <w:r>
        <w:rPr>
          <w:rFonts w:ascii="Times New Roman" w:eastAsia="Times New Roman" w:hAnsi="Times New Roman" w:cs="Times New Roman"/>
          <w:sz w:val="28"/>
          <w:szCs w:val="28"/>
        </w:rPr>
        <w:t xml:space="preserve"> Trong đó nêu rõ:</w:t>
      </w:r>
      <w:r>
        <w:rPr>
          <w:rFonts w:ascii="Times New Roman" w:eastAsia="Times New Roman" w:hAnsi="Times New Roman" w:cs="Times New Roman"/>
          <w:i/>
          <w:iCs/>
          <w:sz w:val="28"/>
          <w:szCs w:val="28"/>
        </w:rPr>
        <w:t xml:space="preserve"> “</w:t>
      </w:r>
      <w:r w:rsidRPr="005D3578">
        <w:rPr>
          <w:rFonts w:ascii="Times New Roman" w:eastAsia="Times New Roman" w:hAnsi="Times New Roman" w:cs="Times New Roman"/>
          <w:i/>
          <w:iCs/>
          <w:sz w:val="28"/>
          <w:szCs w:val="28"/>
        </w:rPr>
        <w:t>7- Đổi mới chính sách, cơ chế tài chính, huy động sự tham gia đóng góp của toàn xã hội; nâng cao hiệu quả đầu tư để phát triển giáo dục và đào tạo</w:t>
      </w:r>
    </w:p>
    <w:p w14:paraId="10F8A025" w14:textId="77777777" w:rsidR="007B10B9" w:rsidRPr="005D3578" w:rsidRDefault="007B10B9" w:rsidP="007B10B9">
      <w:pPr>
        <w:spacing w:before="120" w:after="120" w:line="240" w:lineRule="auto"/>
        <w:ind w:leftChars="0" w:firstLineChars="251" w:firstLine="703"/>
        <w:jc w:val="both"/>
        <w:rPr>
          <w:rFonts w:ascii="Times New Roman" w:eastAsia="Times New Roman" w:hAnsi="Times New Roman" w:cs="Times New Roman"/>
          <w:i/>
          <w:iCs/>
          <w:sz w:val="28"/>
          <w:szCs w:val="28"/>
        </w:rPr>
      </w:pPr>
      <w:r w:rsidRPr="005D3578">
        <w:rPr>
          <w:rFonts w:ascii="Times New Roman" w:eastAsia="Times New Roman" w:hAnsi="Times New Roman" w:cs="Times New Roman"/>
          <w:i/>
          <w:iCs/>
          <w:sz w:val="28"/>
          <w:szCs w:val="28"/>
        </w:rPr>
        <w:t xml:space="preserve">Nhà nước giữ vai trò chủ đạo trong đầu tư phát triển giáo dục và đào tạo, ngân sách nhà nước chi cho giáo dục và đào tạo tối thiểu ở mức 20% tổng chi </w:t>
      </w:r>
      <w:r w:rsidRPr="005D3578">
        <w:rPr>
          <w:rFonts w:ascii="Times New Roman" w:eastAsia="Times New Roman" w:hAnsi="Times New Roman" w:cs="Times New Roman"/>
          <w:i/>
          <w:iCs/>
          <w:sz w:val="28"/>
          <w:szCs w:val="28"/>
        </w:rPr>
        <w:lastRenderedPageBreak/>
        <w:t>ngân sách; chú trọng nâng cao hiệu quả sử dụng vốn ngân sách. Từng bước bảo đảm đủ kinh phí hoạt động chuyên môn cho các cơ sở giáo dục, đào tạo công lập. Hoàn thiện chính sách học phí.</w:t>
      </w:r>
    </w:p>
    <w:p w14:paraId="2D245B06" w14:textId="77777777" w:rsidR="007B10B9" w:rsidRDefault="007B10B9" w:rsidP="007B10B9">
      <w:pPr>
        <w:spacing w:before="120" w:after="120" w:line="240" w:lineRule="auto"/>
        <w:ind w:leftChars="0" w:left="1" w:firstLineChars="251" w:firstLine="703"/>
        <w:jc w:val="both"/>
        <w:rPr>
          <w:rFonts w:ascii="Times New Roman" w:eastAsia="Times New Roman" w:hAnsi="Times New Roman" w:cs="Times New Roman"/>
          <w:sz w:val="28"/>
          <w:szCs w:val="28"/>
        </w:rPr>
      </w:pPr>
      <w:r w:rsidRPr="005D3578">
        <w:rPr>
          <w:rFonts w:ascii="Times New Roman" w:eastAsia="Times New Roman" w:hAnsi="Times New Roman" w:cs="Times New Roman"/>
          <w:i/>
          <w:iCs/>
          <w:sz w:val="28"/>
          <w:szCs w:val="28"/>
        </w:rPr>
        <w:t>Đối với giáo dục mầm non và phổ thông, Nhà nước ưu tiên tập trung đầu tư xây dựng, phát triển các cơ sở giáo dục công lập và có cơ chế hỗ trợ để bảo đảm từng bước hoàn thành mục tiêu phổ cập theo luật định. Khuyến khích phát triển các loại hình trường ngoài công lập đáp ứng nhu cầu xã hội về giáo dục chất lượng cao ở khu vực đô thị.</w:t>
      </w:r>
      <w:r>
        <w:rPr>
          <w:rFonts w:ascii="Times New Roman" w:eastAsia="Times New Roman" w:hAnsi="Times New Roman" w:cs="Times New Roman"/>
          <w:i/>
          <w:iCs/>
          <w:sz w:val="28"/>
          <w:szCs w:val="28"/>
        </w:rPr>
        <w:t>”</w:t>
      </w:r>
    </w:p>
    <w:p w14:paraId="2F24C24D" w14:textId="3E0F1CD1" w:rsidR="006C31F4" w:rsidRDefault="006C31F4" w:rsidP="00ED7E07">
      <w:pPr>
        <w:spacing w:before="120" w:after="120" w:line="240" w:lineRule="auto"/>
        <w:ind w:leftChars="0" w:left="1" w:firstLineChars="251" w:firstLine="703"/>
        <w:jc w:val="both"/>
        <w:rPr>
          <w:rFonts w:ascii="Times New Roman" w:eastAsia="Times New Roman" w:hAnsi="Times New Roman" w:cs="Times New Roman"/>
          <w:i/>
          <w:iCs/>
          <w:sz w:val="28"/>
          <w:szCs w:val="28"/>
        </w:rPr>
      </w:pPr>
      <w:r w:rsidRPr="006C31F4">
        <w:rPr>
          <w:rFonts w:ascii="Times New Roman" w:eastAsia="Times New Roman" w:hAnsi="Times New Roman" w:cs="Times New Roman"/>
          <w:sz w:val="28"/>
          <w:szCs w:val="28"/>
        </w:rPr>
        <w:t>Văn kiện Đại hội đại biểu toàn quốc lần thứ XIII</w:t>
      </w:r>
      <w:r w:rsidR="00ED7E07">
        <w:rPr>
          <w:rFonts w:ascii="Times New Roman" w:eastAsia="Times New Roman" w:hAnsi="Times New Roman" w:cs="Times New Roman"/>
          <w:sz w:val="28"/>
          <w:szCs w:val="28"/>
        </w:rPr>
        <w:t xml:space="preserve"> </w:t>
      </w:r>
      <w:r w:rsidRPr="006C31F4">
        <w:rPr>
          <w:rFonts w:ascii="Times New Roman" w:eastAsia="Times New Roman" w:hAnsi="Times New Roman" w:cs="Times New Roman"/>
          <w:sz w:val="28"/>
          <w:szCs w:val="28"/>
        </w:rPr>
        <w:t xml:space="preserve">khẳng định vị trí, vai trò quan trọng của giáo dục và đào tạo, yêu cầu phải </w:t>
      </w:r>
      <w:r w:rsidRPr="006C31F4">
        <w:rPr>
          <w:rFonts w:ascii="Times New Roman" w:eastAsia="Times New Roman" w:hAnsi="Times New Roman" w:cs="Times New Roman"/>
          <w:i/>
          <w:iCs/>
          <w:sz w:val="28"/>
          <w:szCs w:val="28"/>
        </w:rPr>
        <w:t>“Xây dựng đồng bộ thể chế, chính sách để thực hiện có hiệu quả chủ trương giáo dục và đào tạo cùng với khoa học và công nghệ là quốc sách hàng đầu, là động lực then chốt để phát triển đất nước”</w:t>
      </w:r>
      <w:r>
        <w:rPr>
          <w:rFonts w:ascii="Times New Roman" w:eastAsia="Times New Roman" w:hAnsi="Times New Roman" w:cs="Times New Roman"/>
          <w:i/>
          <w:iCs/>
          <w:sz w:val="28"/>
          <w:szCs w:val="28"/>
        </w:rPr>
        <w:t>.</w:t>
      </w:r>
      <w:r w:rsidR="00ED7E07">
        <w:rPr>
          <w:rFonts w:ascii="Times New Roman" w:eastAsia="Times New Roman" w:hAnsi="Times New Roman" w:cs="Times New Roman"/>
          <w:sz w:val="28"/>
          <w:szCs w:val="28"/>
        </w:rPr>
        <w:t xml:space="preserve"> Đồng thời phải</w:t>
      </w:r>
      <w:r w:rsidRPr="006C31F4">
        <w:rPr>
          <w:rFonts w:ascii="Times New Roman" w:eastAsia="Times New Roman" w:hAnsi="Times New Roman" w:cs="Times New Roman"/>
          <w:sz w:val="28"/>
          <w:szCs w:val="28"/>
        </w:rPr>
        <w:t xml:space="preserve"> xây dựng và hoàn thiện thể chế, chính sách phát triển giáo dục Việt Nam trong điều kiện kinh tế thị trường và hội nhập quốc tế, </w:t>
      </w:r>
      <w:r w:rsidRPr="006C31F4">
        <w:rPr>
          <w:rFonts w:ascii="Times New Roman" w:eastAsia="Times New Roman" w:hAnsi="Times New Roman" w:cs="Times New Roman"/>
          <w:i/>
          <w:iCs/>
          <w:sz w:val="28"/>
          <w:szCs w:val="28"/>
        </w:rPr>
        <w:t>“Lấy chất lượng và hiệu quả đầu ra làm thước đo. Xây dựng và triển khai thực hiện lộ trình tiến tới miễn học phí đối với học sinh phổ thông, trước hết là đối với học sinh tiểu học và trung học cơ sở”</w:t>
      </w:r>
      <w:r>
        <w:rPr>
          <w:rFonts w:ascii="Times New Roman" w:eastAsia="Times New Roman" w:hAnsi="Times New Roman" w:cs="Times New Roman"/>
          <w:i/>
          <w:iCs/>
          <w:sz w:val="28"/>
          <w:szCs w:val="28"/>
        </w:rPr>
        <w:t>.</w:t>
      </w:r>
    </w:p>
    <w:p w14:paraId="1A608F57" w14:textId="7DD32B45" w:rsidR="00B43E9F" w:rsidRDefault="00435056"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Cơ sở pháp lý</w:t>
      </w:r>
    </w:p>
    <w:p w14:paraId="2FA05910"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F36B75">
        <w:rPr>
          <w:rFonts w:ascii="Times New Roman" w:eastAsia="Times New Roman" w:hAnsi="Times New Roman" w:cs="Times New Roman"/>
          <w:sz w:val="28"/>
          <w:szCs w:val="28"/>
        </w:rPr>
        <w:tab/>
        <w:t xml:space="preserve">Thực hiện quy định tại điểm a và điểm b khoản 6 Điều 99 Luật Giáo dục ngày 14 tháng 6 năm 2019 quy định: </w:t>
      </w:r>
      <w:r w:rsidRPr="00F36B75">
        <w:rPr>
          <w:rFonts w:ascii="Times New Roman" w:eastAsia="Times New Roman" w:hAnsi="Times New Roman" w:cs="Times New Roman"/>
          <w:i/>
          <w:iCs/>
          <w:sz w:val="28"/>
          <w:szCs w:val="28"/>
        </w:rPr>
        <w:t>“a) Chính phủ quy định cơ chế thu và quản lý học phí đối với các cơ sở giáo dục mầm non, cơ sở giáo dục phổ thông, cơ sở giáo dục nghề nghiệp, cơ sở giáo dục đại học công lập; 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r w:rsidRPr="00F36B75">
        <w:rPr>
          <w:rFonts w:ascii="Times New Roman" w:eastAsia="Times New Roman" w:hAnsi="Times New Roman" w:cs="Times New Roman"/>
          <w:sz w:val="28"/>
          <w:szCs w:val="28"/>
        </w:rPr>
        <w:t xml:space="preserve">; </w:t>
      </w:r>
    </w:p>
    <w:p w14:paraId="358582D2"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F36B75">
        <w:rPr>
          <w:rFonts w:ascii="Times New Roman" w:eastAsia="Times New Roman" w:hAnsi="Times New Roman" w:cs="Times New Roman"/>
          <w:sz w:val="28"/>
          <w:szCs w:val="28"/>
        </w:rPr>
        <w:t xml:space="preserve">Thực hiện Khoản 3 Điều 4 Nghị định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quy định </w:t>
      </w:r>
      <w:r w:rsidRPr="00F36B75">
        <w:rPr>
          <w:rFonts w:ascii="Times New Roman" w:eastAsia="Times New Roman" w:hAnsi="Times New Roman" w:cs="Times New Roman"/>
          <w:i/>
          <w:iCs/>
          <w:sz w:val="28"/>
          <w:szCs w:val="28"/>
        </w:rPr>
        <w:t>“3. Ủy ban nhân dân cấp tỉnh thực hiện quản lý nhà nước về học phí, giá các dịch vụ khác trong lĩnh vực giáo dục, đào tạo; ban hành định mức kinh tế - kỹ thuật, định mức chi phí áp dụng trong lĩnh vực giáo dục, đào tạo đối với các dịch vụ chưa ban hành định mức kinh tế - kỹ thuật thuộc thẩm quyền quản lý của địa phương; quyết định phương thức giao nhiệm vụ, đặt hàng, đấu thầu cung cấp sản phẩm, dịch vụ trong lĩnh vực giáo dục, đào tạo; quyết định giá đặt hàng dịch vụ trong lĩnh vực giáo dục, đào tạo thuộc danh mục dịch vụ công sử dụng ngân sách thuộc thẩm quyền quản lý của địa phương, Ủy ban nhân dân cấp tỉnh trình Hội đồng nhân dân cấp tỉnh quyết định khung hoặc mức học phí giáo dục mầm non, giáo dục phổ thông công lập; quy định chi tiết danh mục các khoản thu và mức thu, cơ chế quản lý thu chi đối với các dịch vụ hỗ trợ hoạt động giáo dục, đào tạo đối với cơ sở giáo dục công lập theo thẩm quyền quản lý để áp dụng tại địa phương”</w:t>
      </w:r>
      <w:r w:rsidRPr="00F36B75">
        <w:rPr>
          <w:rFonts w:ascii="Times New Roman" w:eastAsia="Times New Roman" w:hAnsi="Times New Roman" w:cs="Times New Roman"/>
          <w:sz w:val="28"/>
          <w:szCs w:val="28"/>
        </w:rPr>
        <w:t>.</w:t>
      </w:r>
    </w:p>
    <w:p w14:paraId="5DF87B1E"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sz w:val="28"/>
          <w:szCs w:val="28"/>
        </w:rPr>
        <w:lastRenderedPageBreak/>
        <w:t xml:space="preserve">Thực hiện quy định tại Điều 9 Nghị định số 81/2021/NĐ-CP về khung học phí, Ủy ban nhân dân Thành phố đã tham mưu trình Hội đồng nhân dân Thành phố ban hành Nghị quyết số 16/2022/NQ-HĐND ngày 11 tháng 10 năm 2022 quy định mức học phí đối với giáo dục mầm non, giáo dục phổ thông công lập năm học 2022 - 2023 và các năm học tiếp theo trên địa bàn Thành phố Hồ Chí Minh theo Nghị định số 81/2021/NĐ-CP ngày 27 tháng 8 năm 2021 của Chính phủ. Trong đó, tại khoản 3 Điều 2 Nghị quyết số 16/2022/NQ-HĐND quy định: </w:t>
      </w:r>
      <w:r w:rsidRPr="00F36B75">
        <w:rPr>
          <w:rFonts w:ascii="Times New Roman" w:eastAsia="Times New Roman" w:hAnsi="Times New Roman" w:cs="Times New Roman"/>
          <w:i/>
          <w:iCs/>
          <w:sz w:val="28"/>
          <w:szCs w:val="28"/>
        </w:rPr>
        <w:t>“3. Mức học phí từ năm học 2023 - 2024 trở đi đối với cơ sở giáo dục mầm non, giáo dục phổ thông công lập chưa tự bảo đảm chi thường xuyên</w:t>
      </w:r>
    </w:p>
    <w:p w14:paraId="20981D05"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a) Từ năm học 2023 - 2024 đến năm học 2025 - 2026: áp dụng mức học phí quy định tại khoản 2 Điều 2 Nghị quyết này.</w:t>
      </w:r>
    </w:p>
    <w:p w14:paraId="069E0A9B"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Trường hợp điều chỉnh mức thu học phí thì Ủy ban nhân dân Thành phố căn cứ chỉ số giá tiêu dùng, tốc độ tăng trưởng kinh tế hàng năm và khả năng chi trả của người dân trình Hội đồng nhân dân Thành phố quyết định mức thu học phí cụ thể nhưng không quá 7,5%/năm và không vượt mức trần quy định theo khung học phí tại điểm a khoản 2 Điều 9 Nghị định số 81/2021/NĐ-CP của Chính phủ.</w:t>
      </w:r>
    </w:p>
    <w:p w14:paraId="7809A237"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b) Từ năm học 2026 - 2027 trở đi, căn cứ chỉ số giá tiêu dùng, tốc độ tăng trưởng kinh tế hàng năm và khả năng chi trả của người dân, Ủy ban nhân dân Thành phố đề xuất trình Hội đồng nhân dân Thành phố quyết định mức thu học phí cụ thể nhưng không quá 7,5%/năm và không vượt mức trần quy định theo khung học phí tại điểm a khoản 2 Điều 9 Nghị định số 81/2021/NĐ-CP của Chính phủ.”</w:t>
      </w:r>
    </w:p>
    <w:p w14:paraId="24A103E1"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F36B75">
        <w:rPr>
          <w:rFonts w:ascii="Times New Roman" w:eastAsia="Times New Roman" w:hAnsi="Times New Roman" w:cs="Times New Roman"/>
          <w:sz w:val="28"/>
          <w:szCs w:val="28"/>
        </w:rPr>
        <w:t xml:space="preserve">Ngày 31 tháng 12 năm 2023 Chính phủ đã ban hành Nghị định số 97/2023/NĐ-CP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w:t>
      </w:r>
    </w:p>
    <w:p w14:paraId="501E97CB"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sz w:val="28"/>
          <w:szCs w:val="28"/>
        </w:rPr>
        <w:t>Tại khoản 1 Điều 1 Nghị định số 97/2023/NĐ-CP quy định</w:t>
      </w:r>
      <w:r w:rsidRPr="00F36B75">
        <w:rPr>
          <w:rFonts w:ascii="Times New Roman" w:eastAsia="Times New Roman" w:hAnsi="Times New Roman" w:cs="Times New Roman"/>
          <w:i/>
          <w:iCs/>
          <w:sz w:val="28"/>
          <w:szCs w:val="28"/>
        </w:rPr>
        <w:t>: “1. Sửa đổi khoản 3 Điều 9 như sau:</w:t>
      </w:r>
    </w:p>
    <w:p w14:paraId="40B22468"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“3. Học phí từ năm học 2023 - 2024:</w:t>
      </w:r>
    </w:p>
    <w:p w14:paraId="0D2B8592"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a) Đối với cơ sở giáo dục chưa tự bảo đảm chi thường xuyên: Giữ ổn định mức thu học phí từ năm học 2023 - 2024 bằng mức thu học phí của năm học 2021 - 2022 do Hội đồng nhân dân tỉnh đã ban hành áp dụng tại địa phương.</w:t>
      </w:r>
    </w:p>
    <w:p w14:paraId="59AFF912"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b) Đối với cơ sở giáo dục tự bảo đảm chi thường xuyên, cơ sở giáo dục tự bảo đảm chi thường xuyên và chi đầu tư: Cơ sở giáo dục xây dựng mức thu học phí trên cơ sở định mức kinh tế - kỹ thuật, định mức chi phí, trình Ủy ban nhân dân để đề nghị Hội đồng nhân dân cấp tỉnh xem xét phê duyệt”.”</w:t>
      </w:r>
    </w:p>
    <w:p w14:paraId="4EF308DF"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sz w:val="28"/>
          <w:szCs w:val="28"/>
        </w:rPr>
        <w:t xml:space="preserve">Tại điểm a khoản 2 Điều 3 Nghị định số 97/2023/NĐ-CP quy định: </w:t>
      </w:r>
      <w:r w:rsidRPr="00F36B75">
        <w:rPr>
          <w:rFonts w:ascii="Times New Roman" w:eastAsia="Times New Roman" w:hAnsi="Times New Roman" w:cs="Times New Roman"/>
          <w:i/>
          <w:iCs/>
          <w:sz w:val="28"/>
          <w:szCs w:val="28"/>
        </w:rPr>
        <w:t>“2. Điều khoản chuyển tiếp:</w:t>
      </w:r>
    </w:p>
    <w:p w14:paraId="5CA82AFA"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a) Đối với cơ sở giáo dục mầm non, giáo dục phổ thông công lập</w:t>
      </w:r>
    </w:p>
    <w:p w14:paraId="3A859C1A"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 xml:space="preserve">Trường hợp Hội đồng nhân dân các tỉnh và các cơ sở giáo dục đã ban hành khung học phí hoặc mức thu học phí năm học 2023 - 2024 theo quy định tại Nghị </w:t>
      </w:r>
      <w:r w:rsidRPr="00F36B75">
        <w:rPr>
          <w:rFonts w:ascii="Times New Roman" w:eastAsia="Times New Roman" w:hAnsi="Times New Roman" w:cs="Times New Roman"/>
          <w:i/>
          <w:iCs/>
          <w:sz w:val="28"/>
          <w:szCs w:val="28"/>
        </w:rPr>
        <w:lastRenderedPageBreak/>
        <w:t>định số 81/2021/NĐ-CP với mức học phí tăng so với năm học 2021 – 2022 thì ngân sách địa phương đảm bảo phần chênh lệch tăng thêm so với số thu học phí năm học 2021 - 2022. Mức hỗ trợ cho từng cơ sở giáo dục do địa phương xem xét quyết định.</w:t>
      </w:r>
    </w:p>
    <w:p w14:paraId="32C25EC6" w14:textId="77777777" w:rsidR="00435056" w:rsidRPr="00F36B75" w:rsidRDefault="00435056" w:rsidP="00435056">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Trường hợp Hội đồng nhân dân các tỉnh và các cơ sở giáo dục đã ban hành khung học phí hoặc mức thu học phí năm học 2023 - 2024 theo quy định tại Nghị định số 81/2021/NĐ-CP với mức học phí tăng so với năm học 2021 - 2022 nhưng ngân sách địa phương không đảm bảo phần chênh lệch tăng thêm so với mức thu học phí năm học 2021 - 2022 thì phải thực hiện điều chỉnh theo quy định của Nghị định này.”</w:t>
      </w:r>
    </w:p>
    <w:p w14:paraId="5C0B3E36" w14:textId="77777777" w:rsidR="00435056" w:rsidRPr="00F36B75" w:rsidRDefault="00435056" w:rsidP="00435056">
      <w:pPr>
        <w:widowControl w:val="0"/>
        <w:spacing w:before="120" w:after="120" w:line="240" w:lineRule="auto"/>
        <w:ind w:leftChars="0" w:right="-142" w:firstLineChars="0" w:firstLine="721"/>
        <w:jc w:val="both"/>
        <w:rPr>
          <w:rFonts w:ascii="Times New Roman" w:eastAsia="Times New Roman" w:hAnsi="Times New Roman" w:cs="Times New Roman"/>
          <w:i/>
          <w:iCs/>
          <w:sz w:val="28"/>
          <w:szCs w:val="28"/>
        </w:rPr>
      </w:pPr>
      <w:r w:rsidRPr="00F36B75">
        <w:rPr>
          <w:rFonts w:ascii="Times New Roman" w:eastAsia="Times New Roman" w:hAnsi="Times New Roman" w:cs="Times New Roman"/>
          <w:sz w:val="28"/>
          <w:szCs w:val="28"/>
        </w:rPr>
        <w:t xml:space="preserve">Khoản 1 Điều 27 Luật Ban hành văn bản quy phạm pháp luật ngày 22 tháng 6 năm 2015 quy định: </w:t>
      </w:r>
      <w:r w:rsidRPr="00F36B75">
        <w:rPr>
          <w:rFonts w:ascii="Times New Roman" w:eastAsia="Times New Roman" w:hAnsi="Times New Roman" w:cs="Times New Roman"/>
          <w:i/>
          <w:iCs/>
          <w:sz w:val="28"/>
          <w:szCs w:val="28"/>
        </w:rPr>
        <w:t>“Hội đồng nhân dân cấp tỉnh ban hành nghị quyết để quy định:</w:t>
      </w:r>
    </w:p>
    <w:p w14:paraId="365E7895" w14:textId="77777777" w:rsidR="00435056" w:rsidRPr="00F36B75" w:rsidRDefault="00435056" w:rsidP="00435056">
      <w:pPr>
        <w:widowControl w:val="0"/>
        <w:spacing w:before="120" w:after="120" w:line="240" w:lineRule="auto"/>
        <w:ind w:leftChars="0" w:right="-142" w:firstLineChars="0" w:firstLine="721"/>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1. Chi tiết điều, khoản, điểm được giao trong văn bản quy phạm pháp luật của cơ quan nhà nước cấp trên.”</w:t>
      </w:r>
    </w:p>
    <w:p w14:paraId="6144B33C" w14:textId="77777777" w:rsidR="00435056" w:rsidRPr="00F36B75" w:rsidRDefault="00435056" w:rsidP="00435056">
      <w:pPr>
        <w:widowControl w:val="0"/>
        <w:spacing w:before="120" w:after="120" w:line="240" w:lineRule="auto"/>
        <w:ind w:leftChars="0" w:right="-142" w:firstLineChars="0" w:firstLine="721"/>
        <w:jc w:val="both"/>
        <w:rPr>
          <w:rFonts w:ascii="Times New Roman" w:eastAsia="Times New Roman" w:hAnsi="Times New Roman" w:cs="Times New Roman"/>
          <w:i/>
          <w:iCs/>
          <w:sz w:val="28"/>
          <w:szCs w:val="28"/>
        </w:rPr>
      </w:pPr>
      <w:r w:rsidRPr="00F36B75">
        <w:rPr>
          <w:rFonts w:ascii="Times New Roman" w:eastAsia="Times New Roman" w:hAnsi="Times New Roman" w:cs="Times New Roman"/>
          <w:sz w:val="28"/>
          <w:szCs w:val="28"/>
        </w:rPr>
        <w:t xml:space="preserve">Tại khoản 2 và khoản 3 Điều 21 Nghị định số 163/2016/NĐ-CP ngày 21 tháng 12 năm 2016 của Chính phủ quy định chi tiết thi hành một số điều của Luật Ngân sách nhà nước quy định về thẩm quyền của Hội đồng nhân dân cấp tỉnh quyết định định mức phân bổ và chế độ, tiêu chuẩn, định mức chi tiêu ngân sách: </w:t>
      </w:r>
      <w:r w:rsidRPr="00F36B75">
        <w:rPr>
          <w:rFonts w:ascii="Times New Roman" w:eastAsia="Times New Roman" w:hAnsi="Times New Roman" w:cs="Times New Roman"/>
          <w:i/>
          <w:iCs/>
          <w:sz w:val="28"/>
          <w:szCs w:val="28"/>
        </w:rPr>
        <w:t>“2. Quyết định cụ thể đối với một số chế độ, tiêu chuẩn, định mức chi ngân sách theo quy định khung của Chính phủ.</w:t>
      </w:r>
    </w:p>
    <w:p w14:paraId="239CED19" w14:textId="77777777" w:rsidR="00435056" w:rsidRPr="00F36B75" w:rsidRDefault="00435056" w:rsidP="00435056">
      <w:pPr>
        <w:widowControl w:val="0"/>
        <w:spacing w:before="120" w:after="120" w:line="240" w:lineRule="auto"/>
        <w:ind w:leftChars="0" w:right="-142" w:firstLineChars="0" w:firstLine="721"/>
        <w:jc w:val="both"/>
        <w:rPr>
          <w:rFonts w:ascii="Times New Roman" w:eastAsia="Times New Roman" w:hAnsi="Times New Roman" w:cs="Times New Roman"/>
          <w:i/>
          <w:iCs/>
          <w:sz w:val="28"/>
          <w:szCs w:val="28"/>
        </w:rPr>
      </w:pPr>
      <w:r w:rsidRPr="00F36B75">
        <w:rPr>
          <w:rFonts w:ascii="Times New Roman" w:eastAsia="Times New Roman" w:hAnsi="Times New Roman" w:cs="Times New Roman"/>
          <w:i/>
          <w:iCs/>
          <w:sz w:val="28"/>
          <w:szCs w:val="28"/>
        </w:rPr>
        <w:t>3.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14:paraId="2F6C4DCC" w14:textId="0935652A" w:rsidR="00435056" w:rsidRDefault="00435056"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những cơ sở pháp lý nêu trên, việc Hội đồng nhân dân Thành phố ban hành </w:t>
      </w:r>
      <w:r w:rsidRPr="00F36B75">
        <w:rPr>
          <w:rFonts w:ascii="Times New Roman" w:eastAsia="Times New Roman" w:hAnsi="Times New Roman" w:cs="Times New Roman"/>
          <w:sz w:val="28"/>
          <w:szCs w:val="28"/>
        </w:rPr>
        <w:t>Nghị quyết quy định mức học phí đối với giáo dục mầm non, giáo dục phổ thông công lập từ năm học 2024-2025 và các năm học tiếp theo trên địa bàn Thành phố Hồ Chí Minh</w:t>
      </w:r>
      <w:r>
        <w:rPr>
          <w:rFonts w:ascii="Times New Roman" w:eastAsia="Times New Roman" w:hAnsi="Times New Roman" w:cs="Times New Roman"/>
          <w:sz w:val="28"/>
          <w:szCs w:val="28"/>
        </w:rPr>
        <w:t xml:space="preserve"> là </w:t>
      </w:r>
      <w:r w:rsidR="00663455">
        <w:rPr>
          <w:rFonts w:ascii="Times New Roman" w:eastAsia="Times New Roman" w:hAnsi="Times New Roman" w:cs="Times New Roman"/>
          <w:sz w:val="28"/>
          <w:szCs w:val="28"/>
        </w:rPr>
        <w:t>phù hợp với</w:t>
      </w:r>
      <w:r>
        <w:rPr>
          <w:rFonts w:ascii="Times New Roman" w:eastAsia="Times New Roman" w:hAnsi="Times New Roman" w:cs="Times New Roman"/>
          <w:sz w:val="28"/>
          <w:szCs w:val="28"/>
        </w:rPr>
        <w:t xml:space="preserve"> thẩm quyền.</w:t>
      </w:r>
    </w:p>
    <w:p w14:paraId="3F7CF945" w14:textId="6B7D0195" w:rsidR="009C3AC3" w:rsidRDefault="00121A37" w:rsidP="009408AA">
      <w:pPr>
        <w:tabs>
          <w:tab w:val="left" w:pos="567"/>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r w:rsidR="002418E6">
        <w:rPr>
          <w:rFonts w:ascii="Times New Roman" w:eastAsia="Times New Roman" w:hAnsi="Times New Roman" w:cs="Times New Roman"/>
          <w:b/>
          <w:sz w:val="28"/>
          <w:szCs w:val="28"/>
        </w:rPr>
        <w:t>Cơ sở thực tiễn</w:t>
      </w:r>
      <w:r>
        <w:rPr>
          <w:rFonts w:ascii="Times New Roman" w:eastAsia="Times New Roman" w:hAnsi="Times New Roman" w:cs="Times New Roman"/>
          <w:b/>
          <w:sz w:val="28"/>
          <w:szCs w:val="28"/>
        </w:rPr>
        <w:t xml:space="preserve">    </w:t>
      </w:r>
    </w:p>
    <w:p w14:paraId="48D728FD" w14:textId="02FC9681" w:rsidR="00026416" w:rsidRDefault="00026416" w:rsidP="00F36B7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Mức thu học phí năm học 2023-2024 thực hiện theo </w:t>
      </w:r>
      <w:r w:rsidRPr="00026416">
        <w:rPr>
          <w:rFonts w:ascii="Times New Roman" w:eastAsia="Times New Roman" w:hAnsi="Times New Roman" w:cs="Times New Roman"/>
          <w:sz w:val="28"/>
          <w:szCs w:val="28"/>
        </w:rPr>
        <w:t>Nghị quyết số 16/2022/NQ-HĐND ngày 11 tháng 10 năm 2022 của Hội đồng nhân dân Thành phố về quy định mức học phí đối với giáo dục mầm non, giáo dục phổ thông công lập năm học 2022 – 2023 và các năm học tiếp theo trên địa bàn Thành phố Hồ Chí Minh theo Nghị định số 81/2021/NĐ-CP ngày 27 tháng 8 năm 2021 của Chính phủ</w:t>
      </w:r>
      <w:r>
        <w:rPr>
          <w:rFonts w:ascii="Times New Roman" w:eastAsia="Times New Roman" w:hAnsi="Times New Roman" w:cs="Times New Roman"/>
          <w:sz w:val="28"/>
          <w:szCs w:val="28"/>
        </w:rPr>
        <w:t xml:space="preserve"> như sau: </w:t>
      </w:r>
    </w:p>
    <w:p w14:paraId="7333E1F2" w14:textId="77777777" w:rsidR="00C91631" w:rsidRDefault="00C91631" w:rsidP="00F36B7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p>
    <w:p w14:paraId="6BCDDD1E" w14:textId="77777777" w:rsidR="00C91631" w:rsidRDefault="00C91631" w:rsidP="00F36B7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177"/>
        <w:gridCol w:w="2781"/>
      </w:tblGrid>
      <w:tr w:rsidR="00026416" w:rsidRPr="00003E17" w14:paraId="1EAFE317" w14:textId="77777777" w:rsidTr="00026416">
        <w:trPr>
          <w:trHeight w:val="210"/>
          <w:jc w:val="center"/>
        </w:trPr>
        <w:tc>
          <w:tcPr>
            <w:tcW w:w="3402" w:type="dxa"/>
            <w:vMerge w:val="restart"/>
            <w:tcBorders>
              <w:top w:val="single" w:sz="4" w:space="0" w:color="auto"/>
              <w:left w:val="single" w:sz="4" w:space="0" w:color="auto"/>
              <w:right w:val="single" w:sz="4" w:space="0" w:color="auto"/>
            </w:tcBorders>
            <w:vAlign w:val="center"/>
          </w:tcPr>
          <w:p w14:paraId="65AF6468" w14:textId="77777777" w:rsidR="00026416" w:rsidRPr="00CC3A59" w:rsidRDefault="00026416" w:rsidP="00F00F8F">
            <w:pPr>
              <w:shd w:val="clear" w:color="auto" w:fill="FFFFFF"/>
              <w:spacing w:beforeLines="30" w:before="72" w:afterLines="30" w:after="72"/>
              <w:ind w:left="1" w:hanging="3"/>
              <w:rPr>
                <w:rFonts w:ascii="Times New Roman" w:hAnsi="Times New Roman" w:cs="Times New Roman"/>
                <w:b/>
                <w:bCs/>
                <w:sz w:val="28"/>
                <w:szCs w:val="28"/>
              </w:rPr>
            </w:pPr>
            <w:r w:rsidRPr="00CC3A59">
              <w:rPr>
                <w:b/>
                <w:bCs/>
                <w:i/>
                <w:sz w:val="28"/>
                <w:szCs w:val="28"/>
              </w:rPr>
              <w:lastRenderedPageBreak/>
              <w:tab/>
              <w:t xml:space="preserve">  </w:t>
            </w:r>
            <w:r w:rsidRPr="00CC3A59">
              <w:rPr>
                <w:rFonts w:ascii="Times New Roman" w:hAnsi="Times New Roman" w:cs="Times New Roman"/>
                <w:b/>
                <w:bCs/>
                <w:sz w:val="28"/>
                <w:szCs w:val="28"/>
              </w:rPr>
              <w:t>Cấp học</w:t>
            </w:r>
          </w:p>
        </w:tc>
        <w:tc>
          <w:tcPr>
            <w:tcW w:w="5958" w:type="dxa"/>
            <w:gridSpan w:val="2"/>
            <w:tcBorders>
              <w:left w:val="single" w:sz="4" w:space="0" w:color="auto"/>
            </w:tcBorders>
            <w:vAlign w:val="center"/>
          </w:tcPr>
          <w:p w14:paraId="14ABD24F" w14:textId="0011012C" w:rsidR="00026416" w:rsidRPr="00CC3A59" w:rsidRDefault="00026416" w:rsidP="00F00F8F">
            <w:pPr>
              <w:shd w:val="clear" w:color="auto" w:fill="FFFFFF"/>
              <w:spacing w:beforeLines="30" w:before="72" w:afterLines="30" w:after="72"/>
              <w:ind w:left="1" w:hanging="3"/>
              <w:jc w:val="center"/>
              <w:rPr>
                <w:rFonts w:ascii="Times New Roman" w:hAnsi="Times New Roman" w:cs="Times New Roman"/>
                <w:b/>
                <w:bCs/>
                <w:sz w:val="28"/>
                <w:szCs w:val="28"/>
              </w:rPr>
            </w:pPr>
            <w:r w:rsidRPr="00CC3A59">
              <w:rPr>
                <w:rFonts w:ascii="Times New Roman" w:hAnsi="Times New Roman" w:cs="Times New Roman"/>
                <w:b/>
                <w:bCs/>
                <w:sz w:val="28"/>
                <w:szCs w:val="28"/>
              </w:rPr>
              <w:t xml:space="preserve">Mức học phí </w:t>
            </w:r>
            <w:r w:rsidRPr="00CC3A59">
              <w:rPr>
                <w:rFonts w:ascii="Times New Roman" w:hAnsi="Times New Roman" w:cs="Times New Roman"/>
                <w:b/>
                <w:bCs/>
                <w:spacing w:val="4"/>
                <w:sz w:val="28"/>
                <w:szCs w:val="28"/>
                <w:highlight w:val="white"/>
                <w:lang w:val="es-ES"/>
              </w:rPr>
              <w:t>(</w:t>
            </w:r>
            <w:r w:rsidRPr="00CC3A59">
              <w:rPr>
                <w:rFonts w:ascii="Times New Roman" w:hAnsi="Times New Roman" w:cs="Times New Roman"/>
                <w:b/>
                <w:bCs/>
                <w:sz w:val="28"/>
                <w:szCs w:val="28"/>
              </w:rPr>
              <w:t>Đồng/học sinh/tháng</w:t>
            </w:r>
            <w:r w:rsidRPr="00CC3A59">
              <w:rPr>
                <w:rFonts w:ascii="Times New Roman" w:hAnsi="Times New Roman" w:cs="Times New Roman"/>
                <w:b/>
                <w:bCs/>
                <w:spacing w:val="4"/>
                <w:sz w:val="28"/>
                <w:szCs w:val="28"/>
                <w:highlight w:val="white"/>
                <w:lang w:val="es-ES"/>
              </w:rPr>
              <w:t>)</w:t>
            </w:r>
            <w:r w:rsidR="00C8708F">
              <w:rPr>
                <w:rStyle w:val="FootnoteReference"/>
                <w:rFonts w:ascii="Times New Roman" w:hAnsi="Times New Roman" w:cs="Times New Roman"/>
                <w:b/>
                <w:bCs/>
                <w:sz w:val="28"/>
                <w:szCs w:val="28"/>
              </w:rPr>
              <w:footnoteReference w:id="1"/>
            </w:r>
          </w:p>
        </w:tc>
      </w:tr>
      <w:tr w:rsidR="00026416" w:rsidRPr="00003E17" w14:paraId="67660CDD" w14:textId="77777777" w:rsidTr="00026416">
        <w:trPr>
          <w:trHeight w:val="172"/>
          <w:jc w:val="center"/>
        </w:trPr>
        <w:tc>
          <w:tcPr>
            <w:tcW w:w="3402" w:type="dxa"/>
            <w:vMerge/>
            <w:tcBorders>
              <w:left w:val="single" w:sz="4" w:space="0" w:color="auto"/>
              <w:bottom w:val="single" w:sz="4" w:space="0" w:color="auto"/>
              <w:right w:val="single" w:sz="4" w:space="0" w:color="auto"/>
            </w:tcBorders>
            <w:vAlign w:val="center"/>
          </w:tcPr>
          <w:p w14:paraId="5CA79A48" w14:textId="77777777" w:rsidR="00026416" w:rsidRPr="00CC3A59" w:rsidRDefault="00026416" w:rsidP="00F00F8F">
            <w:pPr>
              <w:shd w:val="clear" w:color="auto" w:fill="FFFFFF"/>
              <w:spacing w:beforeLines="30" w:before="72" w:afterLines="30" w:after="72"/>
              <w:ind w:left="1" w:hanging="3"/>
              <w:jc w:val="both"/>
              <w:rPr>
                <w:rFonts w:ascii="Times New Roman" w:hAnsi="Times New Roman" w:cs="Times New Roman"/>
                <w:b/>
                <w:bCs/>
                <w:sz w:val="28"/>
                <w:szCs w:val="28"/>
              </w:rPr>
            </w:pPr>
          </w:p>
        </w:tc>
        <w:tc>
          <w:tcPr>
            <w:tcW w:w="3177" w:type="dxa"/>
            <w:tcBorders>
              <w:left w:val="single" w:sz="4" w:space="0" w:color="auto"/>
            </w:tcBorders>
            <w:vAlign w:val="center"/>
          </w:tcPr>
          <w:p w14:paraId="24D6AD73" w14:textId="77777777" w:rsidR="00026416" w:rsidRPr="00CC3A59" w:rsidRDefault="00026416" w:rsidP="00F00F8F">
            <w:pPr>
              <w:shd w:val="clear" w:color="auto" w:fill="FFFFFF"/>
              <w:spacing w:beforeLines="30" w:before="72" w:afterLines="30" w:after="72"/>
              <w:ind w:left="1" w:hanging="3"/>
              <w:jc w:val="center"/>
              <w:rPr>
                <w:rFonts w:ascii="Times New Roman" w:hAnsi="Times New Roman" w:cs="Times New Roman"/>
                <w:b/>
                <w:bCs/>
                <w:sz w:val="28"/>
                <w:szCs w:val="28"/>
              </w:rPr>
            </w:pPr>
            <w:r w:rsidRPr="00CC3A59">
              <w:rPr>
                <w:rFonts w:ascii="Times New Roman" w:hAnsi="Times New Roman" w:cs="Times New Roman"/>
                <w:b/>
                <w:bCs/>
                <w:sz w:val="28"/>
                <w:szCs w:val="28"/>
              </w:rPr>
              <w:t>Nhóm 1</w:t>
            </w:r>
          </w:p>
        </w:tc>
        <w:tc>
          <w:tcPr>
            <w:tcW w:w="2781" w:type="dxa"/>
            <w:vAlign w:val="center"/>
          </w:tcPr>
          <w:p w14:paraId="5AC8E0D4" w14:textId="77777777" w:rsidR="00026416" w:rsidRPr="00CC3A59" w:rsidRDefault="00026416" w:rsidP="00F00F8F">
            <w:pPr>
              <w:shd w:val="clear" w:color="auto" w:fill="FFFFFF"/>
              <w:spacing w:beforeLines="30" w:before="72" w:afterLines="30" w:after="72"/>
              <w:ind w:left="1" w:hanging="3"/>
              <w:jc w:val="center"/>
              <w:rPr>
                <w:rFonts w:ascii="Times New Roman" w:hAnsi="Times New Roman" w:cs="Times New Roman"/>
                <w:b/>
                <w:bCs/>
                <w:sz w:val="28"/>
                <w:szCs w:val="28"/>
              </w:rPr>
            </w:pPr>
            <w:r w:rsidRPr="00CC3A59">
              <w:rPr>
                <w:rFonts w:ascii="Times New Roman" w:hAnsi="Times New Roman" w:cs="Times New Roman"/>
                <w:b/>
                <w:bCs/>
                <w:sz w:val="28"/>
                <w:szCs w:val="28"/>
              </w:rPr>
              <w:t>Nhóm 2</w:t>
            </w:r>
          </w:p>
        </w:tc>
      </w:tr>
      <w:tr w:rsidR="00026416" w:rsidRPr="00003E17" w14:paraId="3C80CE7E" w14:textId="77777777" w:rsidTr="00026416">
        <w:trPr>
          <w:trHeight w:val="106"/>
          <w:jc w:val="center"/>
        </w:trPr>
        <w:tc>
          <w:tcPr>
            <w:tcW w:w="3402" w:type="dxa"/>
            <w:tcBorders>
              <w:top w:val="single" w:sz="4" w:space="0" w:color="auto"/>
            </w:tcBorders>
            <w:vAlign w:val="center"/>
          </w:tcPr>
          <w:p w14:paraId="5108710C" w14:textId="77777777" w:rsidR="00026416" w:rsidRPr="00003E17" w:rsidRDefault="00026416"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Nhà trẻ</w:t>
            </w:r>
          </w:p>
        </w:tc>
        <w:tc>
          <w:tcPr>
            <w:tcW w:w="3177" w:type="dxa"/>
            <w:vAlign w:val="center"/>
          </w:tcPr>
          <w:p w14:paraId="4BE5AF60"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3</w:t>
            </w:r>
            <w:r w:rsidRPr="00003E17">
              <w:rPr>
                <w:rFonts w:ascii="Times New Roman" w:hAnsi="Times New Roman" w:cs="Times New Roman"/>
                <w:sz w:val="28"/>
                <w:szCs w:val="28"/>
              </w:rPr>
              <w:t>00.000</w:t>
            </w:r>
          </w:p>
        </w:tc>
        <w:tc>
          <w:tcPr>
            <w:tcW w:w="2781" w:type="dxa"/>
            <w:vAlign w:val="center"/>
          </w:tcPr>
          <w:p w14:paraId="4585E3CB"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sidRPr="00003E17">
              <w:rPr>
                <w:rFonts w:ascii="Times New Roman" w:hAnsi="Times New Roman" w:cs="Times New Roman"/>
                <w:sz w:val="28"/>
                <w:szCs w:val="28"/>
              </w:rPr>
              <w:t>120.000</w:t>
            </w:r>
          </w:p>
        </w:tc>
      </w:tr>
      <w:tr w:rsidR="00026416" w:rsidRPr="00003E17" w14:paraId="6F37B06C" w14:textId="77777777" w:rsidTr="00026416">
        <w:trPr>
          <w:trHeight w:val="210"/>
          <w:jc w:val="center"/>
        </w:trPr>
        <w:tc>
          <w:tcPr>
            <w:tcW w:w="3402" w:type="dxa"/>
            <w:vAlign w:val="center"/>
          </w:tcPr>
          <w:p w14:paraId="347E9942" w14:textId="77777777" w:rsidR="00026416" w:rsidRPr="00003E17" w:rsidRDefault="00026416"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Mẫu giáo</w:t>
            </w:r>
          </w:p>
        </w:tc>
        <w:tc>
          <w:tcPr>
            <w:tcW w:w="3177" w:type="dxa"/>
            <w:vAlign w:val="center"/>
          </w:tcPr>
          <w:p w14:paraId="77CA3883"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300</w:t>
            </w:r>
            <w:r w:rsidRPr="00003E17">
              <w:rPr>
                <w:rFonts w:ascii="Times New Roman" w:hAnsi="Times New Roman" w:cs="Times New Roman"/>
                <w:sz w:val="28"/>
                <w:szCs w:val="28"/>
              </w:rPr>
              <w:t>.000</w:t>
            </w:r>
          </w:p>
        </w:tc>
        <w:tc>
          <w:tcPr>
            <w:tcW w:w="2781" w:type="dxa"/>
            <w:vAlign w:val="center"/>
          </w:tcPr>
          <w:p w14:paraId="23E6FAFE"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sidRPr="00003E17">
              <w:rPr>
                <w:rFonts w:ascii="Times New Roman" w:hAnsi="Times New Roman" w:cs="Times New Roman"/>
                <w:sz w:val="28"/>
                <w:szCs w:val="28"/>
              </w:rPr>
              <w:t>100.000</w:t>
            </w:r>
          </w:p>
        </w:tc>
      </w:tr>
      <w:tr w:rsidR="00026416" w:rsidRPr="00003E17" w14:paraId="762E2397" w14:textId="77777777" w:rsidTr="00026416">
        <w:trPr>
          <w:trHeight w:val="210"/>
          <w:jc w:val="center"/>
        </w:trPr>
        <w:tc>
          <w:tcPr>
            <w:tcW w:w="3402" w:type="dxa"/>
            <w:vAlign w:val="center"/>
          </w:tcPr>
          <w:p w14:paraId="46780A62" w14:textId="77777777" w:rsidR="00026416" w:rsidRPr="00003E17" w:rsidRDefault="00026416"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Tiểu học</w:t>
            </w:r>
          </w:p>
        </w:tc>
        <w:tc>
          <w:tcPr>
            <w:tcW w:w="3177" w:type="dxa"/>
            <w:vAlign w:val="center"/>
          </w:tcPr>
          <w:p w14:paraId="063321DB"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300</w:t>
            </w:r>
            <w:r w:rsidRPr="00003E17">
              <w:rPr>
                <w:rFonts w:ascii="Times New Roman" w:hAnsi="Times New Roman" w:cs="Times New Roman"/>
                <w:sz w:val="28"/>
                <w:szCs w:val="28"/>
              </w:rPr>
              <w:t>.000</w:t>
            </w:r>
          </w:p>
        </w:tc>
        <w:tc>
          <w:tcPr>
            <w:tcW w:w="2781" w:type="dxa"/>
            <w:vAlign w:val="center"/>
          </w:tcPr>
          <w:p w14:paraId="72A67046"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sidRPr="00003E17">
              <w:rPr>
                <w:rFonts w:ascii="Times New Roman" w:hAnsi="Times New Roman" w:cs="Times New Roman"/>
                <w:sz w:val="28"/>
                <w:szCs w:val="28"/>
              </w:rPr>
              <w:t>100.000</w:t>
            </w:r>
          </w:p>
        </w:tc>
      </w:tr>
      <w:tr w:rsidR="00026416" w:rsidRPr="00003E17" w14:paraId="5F05BC9A" w14:textId="77777777" w:rsidTr="00026416">
        <w:trPr>
          <w:trHeight w:val="70"/>
          <w:jc w:val="center"/>
        </w:trPr>
        <w:tc>
          <w:tcPr>
            <w:tcW w:w="3402" w:type="dxa"/>
            <w:vAlign w:val="center"/>
          </w:tcPr>
          <w:p w14:paraId="631842ED" w14:textId="77777777" w:rsidR="00026416" w:rsidRPr="00003E17" w:rsidRDefault="00026416"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Trung học cơ sở</w:t>
            </w:r>
          </w:p>
        </w:tc>
        <w:tc>
          <w:tcPr>
            <w:tcW w:w="3177" w:type="dxa"/>
            <w:vAlign w:val="center"/>
          </w:tcPr>
          <w:p w14:paraId="34CC6DAB"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300</w:t>
            </w:r>
            <w:r w:rsidRPr="00003E17">
              <w:rPr>
                <w:rFonts w:ascii="Times New Roman" w:hAnsi="Times New Roman" w:cs="Times New Roman"/>
                <w:sz w:val="28"/>
                <w:szCs w:val="28"/>
              </w:rPr>
              <w:t>.000</w:t>
            </w:r>
          </w:p>
        </w:tc>
        <w:tc>
          <w:tcPr>
            <w:tcW w:w="2781" w:type="dxa"/>
            <w:vAlign w:val="center"/>
          </w:tcPr>
          <w:p w14:paraId="2197FE5B"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100</w:t>
            </w:r>
            <w:r w:rsidRPr="00003E17">
              <w:rPr>
                <w:rFonts w:ascii="Times New Roman" w:hAnsi="Times New Roman" w:cs="Times New Roman"/>
                <w:sz w:val="28"/>
                <w:szCs w:val="28"/>
              </w:rPr>
              <w:t>.000</w:t>
            </w:r>
          </w:p>
        </w:tc>
      </w:tr>
      <w:tr w:rsidR="00026416" w:rsidRPr="00003E17" w14:paraId="386F2B59" w14:textId="77777777" w:rsidTr="00026416">
        <w:trPr>
          <w:trHeight w:val="70"/>
          <w:jc w:val="center"/>
        </w:trPr>
        <w:tc>
          <w:tcPr>
            <w:tcW w:w="3402" w:type="dxa"/>
            <w:vAlign w:val="center"/>
          </w:tcPr>
          <w:p w14:paraId="7A214E16" w14:textId="77777777" w:rsidR="00026416" w:rsidRPr="00003E17" w:rsidRDefault="00026416"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Trung học phổ thông</w:t>
            </w:r>
          </w:p>
        </w:tc>
        <w:tc>
          <w:tcPr>
            <w:tcW w:w="3177" w:type="dxa"/>
            <w:vAlign w:val="center"/>
          </w:tcPr>
          <w:p w14:paraId="6ABDA2A4"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300</w:t>
            </w:r>
            <w:r w:rsidRPr="00003E17">
              <w:rPr>
                <w:rFonts w:ascii="Times New Roman" w:hAnsi="Times New Roman" w:cs="Times New Roman"/>
                <w:sz w:val="28"/>
                <w:szCs w:val="28"/>
              </w:rPr>
              <w:t>.000</w:t>
            </w:r>
          </w:p>
        </w:tc>
        <w:tc>
          <w:tcPr>
            <w:tcW w:w="2781" w:type="dxa"/>
            <w:vAlign w:val="center"/>
          </w:tcPr>
          <w:p w14:paraId="08156923" w14:textId="77777777" w:rsidR="00026416" w:rsidRPr="00003E17" w:rsidRDefault="00026416"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2</w:t>
            </w:r>
            <w:r w:rsidRPr="00003E17">
              <w:rPr>
                <w:rFonts w:ascii="Times New Roman" w:hAnsi="Times New Roman" w:cs="Times New Roman"/>
                <w:sz w:val="28"/>
                <w:szCs w:val="28"/>
              </w:rPr>
              <w:t>00.000</w:t>
            </w:r>
          </w:p>
        </w:tc>
      </w:tr>
    </w:tbl>
    <w:p w14:paraId="72FD42F5" w14:textId="2AF951DC" w:rsidR="00026416" w:rsidRDefault="00026416" w:rsidP="00F36B7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F36B75" w:rsidRPr="00F36B75">
        <w:rPr>
          <w:rFonts w:ascii="Times New Roman" w:eastAsia="Times New Roman" w:hAnsi="Times New Roman" w:cs="Times New Roman"/>
          <w:sz w:val="28"/>
          <w:szCs w:val="28"/>
        </w:rPr>
        <w:t xml:space="preserve">hực hiện Nghị quyết số 36/2023/NQ-HĐND ngày 08 tháng 12 năm 2023 của Hội đồng nhân dân Thành phố về chính sách đặc thù hỗ trợ học phí cho trẻ em mầm non, học sinh phổ thông công lập, ngoài công lập và học viên giáo dục thường xuyên trên địa bàn Thành phố Hồ Chí Minh năm học 2023 - 2024, ngân sách </w:t>
      </w:r>
      <w:r w:rsidR="00833903">
        <w:rPr>
          <w:rFonts w:ascii="Times New Roman" w:eastAsia="Times New Roman" w:hAnsi="Times New Roman" w:cs="Times New Roman"/>
          <w:sz w:val="28"/>
          <w:szCs w:val="28"/>
        </w:rPr>
        <w:br/>
      </w:r>
      <w:r w:rsidR="00F36B75" w:rsidRPr="00F36B75">
        <w:rPr>
          <w:rFonts w:ascii="Times New Roman" w:eastAsia="Times New Roman" w:hAnsi="Times New Roman" w:cs="Times New Roman"/>
          <w:sz w:val="28"/>
          <w:szCs w:val="28"/>
        </w:rPr>
        <w:t>Thành phố đã đảm bảo phần chênh lệch tăng thêm so với số thu học phí năm học 2021 – 2022</w:t>
      </w:r>
      <w:r>
        <w:rPr>
          <w:rFonts w:ascii="Times New Roman" w:eastAsia="Times New Roman" w:hAnsi="Times New Roman" w:cs="Times New Roman"/>
          <w:sz w:val="28"/>
          <w:szCs w:val="28"/>
        </w:rPr>
        <w:t xml:space="preserve"> theo quy định tại </w:t>
      </w:r>
      <w:r w:rsidRPr="00F36B75">
        <w:rPr>
          <w:rFonts w:ascii="Times New Roman" w:eastAsia="Times New Roman" w:hAnsi="Times New Roman" w:cs="Times New Roman"/>
          <w:sz w:val="28"/>
          <w:szCs w:val="28"/>
        </w:rPr>
        <w:t>điểm a khoản 2 Điều 3 Nghị định số 97/2023/NĐ-CP</w:t>
      </w:r>
      <w:r w:rsidR="00833903">
        <w:rPr>
          <w:rFonts w:ascii="Times New Roman" w:eastAsia="Times New Roman" w:hAnsi="Times New Roman" w:cs="Times New Roman"/>
          <w:sz w:val="28"/>
          <w:szCs w:val="28"/>
        </w:rPr>
        <w:t>.</w:t>
      </w:r>
    </w:p>
    <w:p w14:paraId="7260A801" w14:textId="1B0A3E1B" w:rsidR="00F36B75" w:rsidRPr="00F36B75" w:rsidRDefault="00F36B75" w:rsidP="00F36B7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F36B75">
        <w:rPr>
          <w:rFonts w:ascii="Times New Roman" w:eastAsia="Times New Roman" w:hAnsi="Times New Roman" w:cs="Times New Roman"/>
          <w:sz w:val="28"/>
          <w:szCs w:val="28"/>
        </w:rPr>
        <w:t>Từ năm học 2024 – 2025, Hội đồng nhân dân Thành phố phải điều chỉnh mức thu học phí bằng mức thu học phí của năm học 2021 – 2022 theo quy định tại Nghị định số 97/2023/NĐ-CP nêu trên.</w:t>
      </w:r>
    </w:p>
    <w:p w14:paraId="163E5AC4" w14:textId="011A2FD8" w:rsidR="00902D15" w:rsidRDefault="00F36B75" w:rsidP="00F36B7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F36B75">
        <w:rPr>
          <w:rFonts w:ascii="Times New Roman" w:eastAsia="Times New Roman" w:hAnsi="Times New Roman" w:cs="Times New Roman"/>
          <w:sz w:val="28"/>
          <w:szCs w:val="28"/>
        </w:rPr>
        <w:t>Theo đó, mức thu học phí của năm học 2021 – 2022 được thực hiện theo Điều 2 Nghị quyết số 28/2021/NQ-HĐND ngày 09 tháng 12 năm 2021 của Hội đồng nhân dân Thành phố, cụ thể như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4"/>
        <w:gridCol w:w="2659"/>
        <w:gridCol w:w="2337"/>
        <w:gridCol w:w="11"/>
      </w:tblGrid>
      <w:tr w:rsidR="00F36B75" w:rsidRPr="00F36B75" w14:paraId="05912446" w14:textId="77777777" w:rsidTr="00A1434E">
        <w:trPr>
          <w:gridAfter w:val="1"/>
          <w:wAfter w:w="6" w:type="pct"/>
          <w:trHeight w:val="773"/>
        </w:trPr>
        <w:tc>
          <w:tcPr>
            <w:tcW w:w="2384" w:type="pct"/>
            <w:vMerge w:val="restart"/>
            <w:tcBorders>
              <w:top w:val="single" w:sz="4" w:space="0" w:color="auto"/>
              <w:left w:val="single" w:sz="4" w:space="0" w:color="auto"/>
              <w:right w:val="single" w:sz="4" w:space="0" w:color="auto"/>
            </w:tcBorders>
            <w:vAlign w:val="center"/>
          </w:tcPr>
          <w:p w14:paraId="6819EC1C" w14:textId="77777777" w:rsidR="00F36B75" w:rsidRPr="00F36B75" w:rsidRDefault="00F36B75" w:rsidP="00A1434E">
            <w:pPr>
              <w:shd w:val="clear" w:color="auto" w:fill="FFFFFF"/>
              <w:spacing w:before="120" w:after="120"/>
              <w:ind w:left="1" w:hanging="3"/>
              <w:jc w:val="center"/>
              <w:rPr>
                <w:rFonts w:ascii="Times New Roman" w:hAnsi="Times New Roman" w:cs="Times New Roman"/>
                <w:b/>
                <w:sz w:val="28"/>
                <w:szCs w:val="28"/>
              </w:rPr>
            </w:pPr>
            <w:r w:rsidRPr="00F36B75">
              <w:rPr>
                <w:rFonts w:ascii="Times New Roman" w:hAnsi="Times New Roman" w:cs="Times New Roman"/>
                <w:b/>
                <w:sz w:val="28"/>
                <w:szCs w:val="28"/>
              </w:rPr>
              <w:t>Cấp học</w:t>
            </w:r>
          </w:p>
        </w:tc>
        <w:tc>
          <w:tcPr>
            <w:tcW w:w="2610" w:type="pct"/>
            <w:gridSpan w:val="2"/>
            <w:tcBorders>
              <w:left w:val="single" w:sz="4" w:space="0" w:color="auto"/>
            </w:tcBorders>
            <w:vAlign w:val="center"/>
          </w:tcPr>
          <w:p w14:paraId="4583DC8B" w14:textId="2BA6417E" w:rsidR="00F36B75" w:rsidRPr="00F36B75" w:rsidRDefault="00F36B75" w:rsidP="00A1434E">
            <w:pPr>
              <w:shd w:val="clear" w:color="auto" w:fill="FFFFFF"/>
              <w:spacing w:before="120" w:after="120"/>
              <w:ind w:left="1" w:hanging="3"/>
              <w:jc w:val="center"/>
              <w:rPr>
                <w:rFonts w:ascii="Times New Roman" w:hAnsi="Times New Roman" w:cs="Times New Roman"/>
                <w:b/>
                <w:sz w:val="28"/>
                <w:szCs w:val="28"/>
              </w:rPr>
            </w:pPr>
            <w:r w:rsidRPr="00F36B75">
              <w:rPr>
                <w:rFonts w:ascii="Times New Roman" w:hAnsi="Times New Roman" w:cs="Times New Roman"/>
                <w:b/>
                <w:sz w:val="28"/>
                <w:szCs w:val="28"/>
              </w:rPr>
              <w:t>Mức học phí</w:t>
            </w:r>
            <w:r w:rsidR="00C8708F">
              <w:rPr>
                <w:rStyle w:val="FootnoteReference"/>
                <w:rFonts w:ascii="Times New Roman" w:hAnsi="Times New Roman" w:cs="Times New Roman"/>
                <w:b/>
                <w:sz w:val="28"/>
                <w:szCs w:val="28"/>
              </w:rPr>
              <w:footnoteReference w:id="2"/>
            </w:r>
          </w:p>
          <w:p w14:paraId="6EB08953" w14:textId="77777777" w:rsidR="00F36B75" w:rsidRPr="00F36B75" w:rsidRDefault="00F36B75" w:rsidP="00A1434E">
            <w:pPr>
              <w:shd w:val="clear" w:color="auto" w:fill="FFFFFF"/>
              <w:spacing w:before="120" w:after="120"/>
              <w:ind w:left="1" w:hanging="3"/>
              <w:jc w:val="center"/>
              <w:rPr>
                <w:rFonts w:ascii="Times New Roman" w:hAnsi="Times New Roman" w:cs="Times New Roman"/>
                <w:b/>
                <w:sz w:val="28"/>
                <w:szCs w:val="28"/>
              </w:rPr>
            </w:pPr>
            <w:r w:rsidRPr="00F36B75">
              <w:rPr>
                <w:rFonts w:ascii="Times New Roman" w:hAnsi="Times New Roman" w:cs="Times New Roman"/>
                <w:b/>
                <w:sz w:val="28"/>
                <w:szCs w:val="28"/>
              </w:rPr>
              <w:t>(đồng/học sinh/tháng)</w:t>
            </w:r>
          </w:p>
        </w:tc>
      </w:tr>
      <w:tr w:rsidR="00F36B75" w:rsidRPr="00F36B75" w14:paraId="1544FB11" w14:textId="77777777" w:rsidTr="00A1434E">
        <w:trPr>
          <w:trHeight w:val="172"/>
        </w:trPr>
        <w:tc>
          <w:tcPr>
            <w:tcW w:w="2384" w:type="pct"/>
            <w:vMerge/>
            <w:tcBorders>
              <w:left w:val="single" w:sz="4" w:space="0" w:color="auto"/>
              <w:bottom w:val="single" w:sz="4" w:space="0" w:color="auto"/>
              <w:right w:val="single" w:sz="4" w:space="0" w:color="auto"/>
            </w:tcBorders>
            <w:vAlign w:val="center"/>
          </w:tcPr>
          <w:p w14:paraId="2C29534B" w14:textId="77777777" w:rsidR="00F36B75" w:rsidRPr="00F36B75" w:rsidRDefault="00F36B75" w:rsidP="00A1434E">
            <w:pPr>
              <w:shd w:val="clear" w:color="auto" w:fill="FFFFFF"/>
              <w:spacing w:before="120" w:after="120"/>
              <w:ind w:left="1" w:hanging="3"/>
              <w:rPr>
                <w:rFonts w:ascii="Times New Roman" w:hAnsi="Times New Roman" w:cs="Times New Roman"/>
                <w:sz w:val="28"/>
                <w:szCs w:val="28"/>
              </w:rPr>
            </w:pPr>
          </w:p>
        </w:tc>
        <w:tc>
          <w:tcPr>
            <w:tcW w:w="1389" w:type="pct"/>
            <w:tcBorders>
              <w:left w:val="single" w:sz="4" w:space="0" w:color="auto"/>
            </w:tcBorders>
            <w:vAlign w:val="center"/>
          </w:tcPr>
          <w:p w14:paraId="486D311F"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b/>
                <w:sz w:val="28"/>
                <w:szCs w:val="28"/>
              </w:rPr>
              <w:t>Nhóm 1</w:t>
            </w:r>
          </w:p>
        </w:tc>
        <w:tc>
          <w:tcPr>
            <w:tcW w:w="1227" w:type="pct"/>
            <w:gridSpan w:val="2"/>
            <w:vAlign w:val="center"/>
          </w:tcPr>
          <w:p w14:paraId="20025A0A"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b/>
                <w:sz w:val="28"/>
                <w:szCs w:val="28"/>
              </w:rPr>
              <w:t>Nhóm 2</w:t>
            </w:r>
          </w:p>
        </w:tc>
      </w:tr>
      <w:tr w:rsidR="00F36B75" w:rsidRPr="00F36B75" w14:paraId="1D581DAD" w14:textId="77777777" w:rsidTr="00A1434E">
        <w:trPr>
          <w:trHeight w:val="525"/>
        </w:trPr>
        <w:tc>
          <w:tcPr>
            <w:tcW w:w="2384" w:type="pct"/>
            <w:tcBorders>
              <w:top w:val="single" w:sz="4" w:space="0" w:color="auto"/>
            </w:tcBorders>
            <w:vAlign w:val="center"/>
          </w:tcPr>
          <w:p w14:paraId="12606EF4" w14:textId="77777777" w:rsidR="00F36B75" w:rsidRPr="00F36B75" w:rsidRDefault="00F36B75" w:rsidP="00A1434E">
            <w:pPr>
              <w:shd w:val="clear" w:color="auto" w:fill="FFFFFF"/>
              <w:spacing w:before="120" w:after="120"/>
              <w:ind w:left="1" w:hanging="3"/>
              <w:rPr>
                <w:rFonts w:ascii="Times New Roman" w:hAnsi="Times New Roman" w:cs="Times New Roman"/>
                <w:sz w:val="28"/>
                <w:szCs w:val="28"/>
              </w:rPr>
            </w:pPr>
            <w:r w:rsidRPr="00F36B75">
              <w:rPr>
                <w:rFonts w:ascii="Times New Roman" w:hAnsi="Times New Roman" w:cs="Times New Roman"/>
                <w:sz w:val="28"/>
                <w:szCs w:val="28"/>
              </w:rPr>
              <w:t>Nhà trẻ</w:t>
            </w:r>
          </w:p>
        </w:tc>
        <w:tc>
          <w:tcPr>
            <w:tcW w:w="1389" w:type="pct"/>
            <w:vAlign w:val="center"/>
          </w:tcPr>
          <w:p w14:paraId="188D4DD3"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200.000</w:t>
            </w:r>
          </w:p>
        </w:tc>
        <w:tc>
          <w:tcPr>
            <w:tcW w:w="1227" w:type="pct"/>
            <w:gridSpan w:val="2"/>
            <w:vAlign w:val="center"/>
          </w:tcPr>
          <w:p w14:paraId="7FEF608E"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120.000</w:t>
            </w:r>
          </w:p>
        </w:tc>
      </w:tr>
      <w:tr w:rsidR="00F36B75" w:rsidRPr="00F36B75" w14:paraId="5CBD7DDF" w14:textId="77777777" w:rsidTr="00A1434E">
        <w:trPr>
          <w:trHeight w:val="460"/>
        </w:trPr>
        <w:tc>
          <w:tcPr>
            <w:tcW w:w="2384" w:type="pct"/>
            <w:vAlign w:val="center"/>
          </w:tcPr>
          <w:p w14:paraId="58773383" w14:textId="77777777" w:rsidR="00F36B75" w:rsidRPr="00F36B75" w:rsidRDefault="00F36B75" w:rsidP="00A1434E">
            <w:pPr>
              <w:shd w:val="clear" w:color="auto" w:fill="FFFFFF"/>
              <w:spacing w:before="120" w:after="120"/>
              <w:ind w:left="1" w:hanging="3"/>
              <w:rPr>
                <w:rFonts w:ascii="Times New Roman" w:hAnsi="Times New Roman" w:cs="Times New Roman"/>
                <w:sz w:val="28"/>
                <w:szCs w:val="28"/>
              </w:rPr>
            </w:pPr>
            <w:r w:rsidRPr="00F36B75">
              <w:rPr>
                <w:rFonts w:ascii="Times New Roman" w:hAnsi="Times New Roman" w:cs="Times New Roman"/>
                <w:sz w:val="28"/>
                <w:szCs w:val="28"/>
              </w:rPr>
              <w:t>Mẫu giáo</w:t>
            </w:r>
          </w:p>
        </w:tc>
        <w:tc>
          <w:tcPr>
            <w:tcW w:w="1389" w:type="pct"/>
            <w:vAlign w:val="center"/>
          </w:tcPr>
          <w:p w14:paraId="7000153C"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160.000</w:t>
            </w:r>
          </w:p>
        </w:tc>
        <w:tc>
          <w:tcPr>
            <w:tcW w:w="1227" w:type="pct"/>
            <w:gridSpan w:val="2"/>
            <w:vAlign w:val="center"/>
          </w:tcPr>
          <w:p w14:paraId="4E3B872C"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100.000</w:t>
            </w:r>
          </w:p>
        </w:tc>
      </w:tr>
      <w:tr w:rsidR="00F36B75" w:rsidRPr="00F36B75" w14:paraId="237AE6A3" w14:textId="77777777" w:rsidTr="00A1434E">
        <w:trPr>
          <w:trHeight w:val="427"/>
        </w:trPr>
        <w:tc>
          <w:tcPr>
            <w:tcW w:w="2384" w:type="pct"/>
            <w:vAlign w:val="center"/>
          </w:tcPr>
          <w:p w14:paraId="6C92BA83" w14:textId="77777777" w:rsidR="00F36B75" w:rsidRPr="00F36B75" w:rsidRDefault="00F36B75" w:rsidP="00A1434E">
            <w:pPr>
              <w:shd w:val="clear" w:color="auto" w:fill="FFFFFF"/>
              <w:spacing w:before="120" w:after="120"/>
              <w:ind w:left="1" w:hanging="3"/>
              <w:rPr>
                <w:rFonts w:ascii="Times New Roman" w:hAnsi="Times New Roman" w:cs="Times New Roman"/>
                <w:sz w:val="28"/>
                <w:szCs w:val="28"/>
              </w:rPr>
            </w:pPr>
            <w:r w:rsidRPr="00F36B75">
              <w:rPr>
                <w:rFonts w:ascii="Times New Roman" w:hAnsi="Times New Roman" w:cs="Times New Roman"/>
                <w:sz w:val="28"/>
                <w:szCs w:val="28"/>
              </w:rPr>
              <w:t>Tiểu học</w:t>
            </w:r>
          </w:p>
        </w:tc>
        <w:tc>
          <w:tcPr>
            <w:tcW w:w="2616" w:type="pct"/>
            <w:gridSpan w:val="3"/>
            <w:vAlign w:val="center"/>
          </w:tcPr>
          <w:p w14:paraId="540A2003"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Không áp dụng</w:t>
            </w:r>
          </w:p>
        </w:tc>
      </w:tr>
      <w:tr w:rsidR="00F36B75" w:rsidRPr="00F36B75" w14:paraId="44FCD402" w14:textId="77777777" w:rsidTr="00A1434E">
        <w:trPr>
          <w:trHeight w:val="460"/>
        </w:trPr>
        <w:tc>
          <w:tcPr>
            <w:tcW w:w="2384" w:type="pct"/>
            <w:vAlign w:val="center"/>
          </w:tcPr>
          <w:p w14:paraId="3CEEC2FF" w14:textId="77777777" w:rsidR="00F36B75" w:rsidRPr="00F36B75" w:rsidRDefault="00F36B75" w:rsidP="00A1434E">
            <w:pPr>
              <w:shd w:val="clear" w:color="auto" w:fill="FFFFFF"/>
              <w:spacing w:before="120" w:after="120"/>
              <w:ind w:left="1" w:hanging="3"/>
              <w:rPr>
                <w:rFonts w:ascii="Times New Roman" w:hAnsi="Times New Roman" w:cs="Times New Roman"/>
                <w:sz w:val="28"/>
                <w:szCs w:val="28"/>
              </w:rPr>
            </w:pPr>
            <w:r w:rsidRPr="00F36B75">
              <w:rPr>
                <w:rFonts w:ascii="Times New Roman" w:hAnsi="Times New Roman" w:cs="Times New Roman"/>
                <w:sz w:val="28"/>
                <w:szCs w:val="28"/>
              </w:rPr>
              <w:t>Trung học cơ sở</w:t>
            </w:r>
          </w:p>
        </w:tc>
        <w:tc>
          <w:tcPr>
            <w:tcW w:w="1389" w:type="pct"/>
            <w:vAlign w:val="center"/>
          </w:tcPr>
          <w:p w14:paraId="2EBB8AED"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60.000</w:t>
            </w:r>
          </w:p>
        </w:tc>
        <w:tc>
          <w:tcPr>
            <w:tcW w:w="1227" w:type="pct"/>
            <w:gridSpan w:val="2"/>
            <w:vAlign w:val="center"/>
          </w:tcPr>
          <w:p w14:paraId="6BCD7B37"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30.000</w:t>
            </w:r>
          </w:p>
        </w:tc>
      </w:tr>
      <w:tr w:rsidR="00F36B75" w:rsidRPr="00F36B75" w14:paraId="2BD17F4A" w14:textId="77777777" w:rsidTr="00A1434E">
        <w:trPr>
          <w:trHeight w:val="460"/>
        </w:trPr>
        <w:tc>
          <w:tcPr>
            <w:tcW w:w="2384" w:type="pct"/>
            <w:vAlign w:val="center"/>
          </w:tcPr>
          <w:p w14:paraId="325E2147" w14:textId="77777777" w:rsidR="00F36B75" w:rsidRPr="00F36B75" w:rsidRDefault="00F36B75" w:rsidP="00A1434E">
            <w:pPr>
              <w:shd w:val="clear" w:color="auto" w:fill="FFFFFF"/>
              <w:spacing w:before="120" w:after="120"/>
              <w:ind w:left="1" w:hanging="3"/>
              <w:rPr>
                <w:rFonts w:ascii="Times New Roman" w:hAnsi="Times New Roman" w:cs="Times New Roman"/>
                <w:sz w:val="28"/>
                <w:szCs w:val="28"/>
              </w:rPr>
            </w:pPr>
            <w:r w:rsidRPr="00F36B75">
              <w:rPr>
                <w:rFonts w:ascii="Times New Roman" w:hAnsi="Times New Roman" w:cs="Times New Roman"/>
                <w:sz w:val="28"/>
                <w:szCs w:val="28"/>
              </w:rPr>
              <w:t>Trung học phổ thông</w:t>
            </w:r>
          </w:p>
        </w:tc>
        <w:tc>
          <w:tcPr>
            <w:tcW w:w="1389" w:type="pct"/>
            <w:vAlign w:val="center"/>
          </w:tcPr>
          <w:p w14:paraId="602F5E62"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120.000</w:t>
            </w:r>
          </w:p>
        </w:tc>
        <w:tc>
          <w:tcPr>
            <w:tcW w:w="1227" w:type="pct"/>
            <w:gridSpan w:val="2"/>
            <w:vAlign w:val="center"/>
          </w:tcPr>
          <w:p w14:paraId="1444BB48" w14:textId="77777777" w:rsidR="00F36B75" w:rsidRPr="00F36B75" w:rsidRDefault="00F36B75" w:rsidP="00A1434E">
            <w:pPr>
              <w:shd w:val="clear" w:color="auto" w:fill="FFFFFF"/>
              <w:spacing w:before="120" w:after="120"/>
              <w:ind w:left="1" w:hanging="3"/>
              <w:jc w:val="center"/>
              <w:rPr>
                <w:rFonts w:ascii="Times New Roman" w:hAnsi="Times New Roman" w:cs="Times New Roman"/>
                <w:sz w:val="28"/>
                <w:szCs w:val="28"/>
              </w:rPr>
            </w:pPr>
            <w:r w:rsidRPr="00F36B75">
              <w:rPr>
                <w:rFonts w:ascii="Times New Roman" w:hAnsi="Times New Roman" w:cs="Times New Roman"/>
                <w:sz w:val="28"/>
                <w:szCs w:val="28"/>
              </w:rPr>
              <w:t>100.000</w:t>
            </w:r>
          </w:p>
        </w:tc>
      </w:tr>
    </w:tbl>
    <w:p w14:paraId="357D8534" w14:textId="20BA72C2" w:rsidR="00F36B75" w:rsidRDefault="00F36B75" w:rsidP="00F36B75">
      <w:pPr>
        <w:widowControl w:val="0"/>
        <w:spacing w:before="120" w:after="120" w:line="240" w:lineRule="auto"/>
        <w:ind w:leftChars="0" w:left="0" w:right="-142" w:firstLineChars="0" w:firstLine="707"/>
        <w:jc w:val="both"/>
        <w:rPr>
          <w:rFonts w:ascii="Times New Roman" w:eastAsia="Times New Roman" w:hAnsi="Times New Roman" w:cs="Times New Roman"/>
          <w:sz w:val="28"/>
          <w:szCs w:val="28"/>
        </w:rPr>
      </w:pPr>
      <w:r w:rsidRPr="00F36B75">
        <w:rPr>
          <w:rFonts w:ascii="Times New Roman" w:eastAsia="Times New Roman" w:hAnsi="Times New Roman" w:cs="Times New Roman"/>
          <w:sz w:val="28"/>
          <w:szCs w:val="28"/>
        </w:rPr>
        <w:t xml:space="preserve">Để có cơ sở tiếp tục triển khai mức thu học phí đối với các cơ sở giáo dục mầm non, giáo dục phổ thông công lập và cơ sở giáo dục thường xuyên trên địa bàn Thành phố Hồ Chí Minh kịp thời cho năm học 2024-2025, việc xây dựng Nghị quyết của Hội đồng nhân dân Thành phố về quy định mức học phí đối với giáo dục </w:t>
      </w:r>
      <w:r w:rsidRPr="00F36B75">
        <w:rPr>
          <w:rFonts w:ascii="Times New Roman" w:eastAsia="Times New Roman" w:hAnsi="Times New Roman" w:cs="Times New Roman"/>
          <w:sz w:val="28"/>
          <w:szCs w:val="28"/>
        </w:rPr>
        <w:lastRenderedPageBreak/>
        <w:t>mầm non, giáo dục phổ thông công lập từ năm học 2024-2025 và các năm học tiếp theo trên địa bàn Thành phố Hồ Chí Minh là yêu cầu cần thiết.</w:t>
      </w:r>
    </w:p>
    <w:p w14:paraId="1AE4CAF6" w14:textId="2D9EA0AD"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 </w:t>
      </w:r>
      <w:r w:rsidR="002418E6" w:rsidRPr="002418E6">
        <w:rPr>
          <w:rFonts w:ascii="Times New Roman" w:eastAsia="Times New Roman" w:hAnsi="Times New Roman" w:cs="Times New Roman"/>
          <w:b/>
          <w:color w:val="000000"/>
          <w:sz w:val="28"/>
          <w:szCs w:val="28"/>
        </w:rPr>
        <w:t>MỤC ĐÍCH BAN HÀNH, QUAN ĐIỂM XÂY DỰNG DỰ THẢO VĂN BẢN</w:t>
      </w:r>
    </w:p>
    <w:p w14:paraId="564AF2EB" w14:textId="19B26102"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1. Mục đích</w:t>
      </w:r>
      <w:r w:rsidR="002418E6">
        <w:rPr>
          <w:rFonts w:ascii="Times New Roman" w:eastAsia="Times New Roman" w:hAnsi="Times New Roman" w:cs="Times New Roman"/>
          <w:b/>
          <w:color w:val="000000"/>
          <w:sz w:val="28"/>
          <w:szCs w:val="28"/>
        </w:rPr>
        <w:t xml:space="preserve"> </w:t>
      </w:r>
      <w:r w:rsidR="002418E6" w:rsidRPr="002418E6">
        <w:rPr>
          <w:rFonts w:ascii="Times New Roman" w:eastAsia="Times New Roman" w:hAnsi="Times New Roman" w:cs="Times New Roman"/>
          <w:b/>
          <w:color w:val="000000"/>
          <w:sz w:val="28"/>
          <w:szCs w:val="28"/>
        </w:rPr>
        <w:t>ban hành văn bản</w:t>
      </w:r>
    </w:p>
    <w:p w14:paraId="03C1E260" w14:textId="6D9491AA" w:rsidR="004048B5" w:rsidRDefault="00121A37" w:rsidP="000E6DAA">
      <w:pPr>
        <w:pBdr>
          <w:top w:val="nil"/>
          <w:left w:val="nil"/>
          <w:bottom w:val="nil"/>
          <w:right w:val="nil"/>
          <w:between w:val="nil"/>
        </w:pBdr>
        <w:spacing w:before="120" w:after="120" w:line="240" w:lineRule="auto"/>
        <w:ind w:leftChars="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A14431" w:rsidRPr="00A14431">
        <w:rPr>
          <w:rFonts w:ascii="Times New Roman" w:eastAsia="Times New Roman" w:hAnsi="Times New Roman" w:cs="Times New Roman"/>
          <w:color w:val="000000"/>
          <w:sz w:val="28"/>
          <w:szCs w:val="28"/>
        </w:rPr>
        <w:t>Đảm bảo cơ sở pháp lý cho các cơ sở giáo dục mầm non, giáo dục phổ thông, giáo dục thường xuyên công lập xác định được mức thu học phí và thực hiện thu học phí ở năm học 2024-2025 và các năm học tiếp theo thống nhất trên địa bàn Thành phố và phù hợp với quy định tại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Pr>
          <w:rFonts w:ascii="Times New Roman" w:eastAsia="Times New Roman" w:hAnsi="Times New Roman" w:cs="Times New Roman"/>
          <w:color w:val="000000"/>
          <w:sz w:val="28"/>
          <w:szCs w:val="28"/>
        </w:rPr>
        <w:t xml:space="preserve"> </w:t>
      </w:r>
    </w:p>
    <w:p w14:paraId="41651A5C" w14:textId="63BC51E0" w:rsidR="009C3AC3" w:rsidRDefault="00121A37" w:rsidP="00902D15">
      <w:pPr>
        <w:pBdr>
          <w:top w:val="nil"/>
          <w:left w:val="nil"/>
          <w:bottom w:val="nil"/>
          <w:right w:val="nil"/>
          <w:between w:val="nil"/>
        </w:pBdr>
        <w:spacing w:before="120" w:after="12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 xml:space="preserve">2. Quan điểm </w:t>
      </w:r>
      <w:r w:rsidR="00C91631">
        <w:rPr>
          <w:rFonts w:ascii="Times New Roman" w:eastAsia="Times New Roman" w:hAnsi="Times New Roman" w:cs="Times New Roman"/>
          <w:b/>
          <w:color w:val="000000"/>
          <w:sz w:val="28"/>
          <w:szCs w:val="28"/>
        </w:rPr>
        <w:t>xây dựng</w:t>
      </w:r>
      <w:r w:rsidR="002418E6" w:rsidRPr="002418E6">
        <w:rPr>
          <w:rFonts w:ascii="Times New Roman" w:eastAsia="Times New Roman" w:hAnsi="Times New Roman" w:cs="Times New Roman"/>
          <w:b/>
          <w:color w:val="000000"/>
          <w:sz w:val="28"/>
          <w:szCs w:val="28"/>
        </w:rPr>
        <w:t xml:space="preserve"> </w:t>
      </w:r>
      <w:r w:rsidR="00C91631">
        <w:rPr>
          <w:rFonts w:ascii="Times New Roman" w:eastAsia="Times New Roman" w:hAnsi="Times New Roman" w:cs="Times New Roman"/>
          <w:b/>
          <w:color w:val="000000"/>
          <w:sz w:val="28"/>
          <w:szCs w:val="28"/>
        </w:rPr>
        <w:t xml:space="preserve">dự thảo </w:t>
      </w:r>
      <w:r w:rsidR="002418E6" w:rsidRPr="002418E6">
        <w:rPr>
          <w:rFonts w:ascii="Times New Roman" w:eastAsia="Times New Roman" w:hAnsi="Times New Roman" w:cs="Times New Roman"/>
          <w:b/>
          <w:color w:val="000000"/>
          <w:sz w:val="28"/>
          <w:szCs w:val="28"/>
        </w:rPr>
        <w:t>văn bản</w:t>
      </w:r>
    </w:p>
    <w:p w14:paraId="5EB10A05" w14:textId="1D73D296"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color w:val="000000"/>
          <w:sz w:val="28"/>
          <w:szCs w:val="28"/>
        </w:rPr>
        <w:t>Phù hợp với Luật Tổ chức chính quyền địa phương năm 2015; Luật sửa đổi, bổ sung một số điều của Luật Tổ chức Chính phủ và Luật Tổ chức chính quyền địa phương năm 2019 và các quy định pháp luật có liên quan.</w:t>
      </w:r>
    </w:p>
    <w:p w14:paraId="7F6291D1" w14:textId="476F0601" w:rsidR="00B37797" w:rsidRDefault="00B3779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Phù hợp với đặc điểm, tình hình kinh tế - xã hội của Thành phố và mức thu nhập của người dân trên địa bàn Thành phố.</w:t>
      </w:r>
    </w:p>
    <w:p w14:paraId="4C1EF706" w14:textId="22FC0899" w:rsidR="001652D6" w:rsidRDefault="00121A37" w:rsidP="00902D15">
      <w:pPr>
        <w:tabs>
          <w:tab w:val="left" w:pos="993"/>
        </w:tabs>
        <w:spacing w:before="120" w:after="120" w:line="240" w:lineRule="auto"/>
        <w:ind w:leftChars="0" w:left="1" w:firstLineChars="251" w:firstLine="703"/>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 Đảm bảo trình tự, thủ tục về xây dựng, ban hành văn bản quy phạm pháp luật theo quy định tại Luật Ban hành văn bản quy phạm pháp luật năm 2015, Luật sửa đổi, bổ sung Luật Ban hành văn bản quy phạm pháp luật năm 2020 và Nghị định số 34/2016/NĐ-CP ngày 14 tháng 5 năm 2016 của Chính phủ.</w:t>
      </w:r>
    </w:p>
    <w:p w14:paraId="39CA688F" w14:textId="6197576D" w:rsidR="002418E6" w:rsidRDefault="002418E6" w:rsidP="002418E6">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III. PHẠM VI ĐIỀU CHỈNH, ĐỐI TƯỢNG ÁP DỤNG CỦA </w:t>
      </w:r>
      <w:r w:rsidR="00C91631">
        <w:rPr>
          <w:rFonts w:ascii="Times New Roman" w:eastAsia="Times New Roman" w:hAnsi="Times New Roman" w:cs="Times New Roman"/>
          <w:b/>
          <w:sz w:val="28"/>
          <w:szCs w:val="28"/>
        </w:rPr>
        <w:t xml:space="preserve">DỰ THẢO </w:t>
      </w:r>
      <w:r w:rsidRPr="002418E6">
        <w:rPr>
          <w:rFonts w:ascii="Times New Roman" w:eastAsia="Times New Roman" w:hAnsi="Times New Roman" w:cs="Times New Roman"/>
          <w:b/>
          <w:color w:val="000000"/>
          <w:sz w:val="28"/>
          <w:szCs w:val="28"/>
        </w:rPr>
        <w:t>VĂN BẢN</w:t>
      </w:r>
    </w:p>
    <w:p w14:paraId="251A011B" w14:textId="522B6C9C" w:rsidR="002418E6" w:rsidRPr="002418E6" w:rsidRDefault="002418E6" w:rsidP="002418E6">
      <w:pPr>
        <w:shd w:val="clear" w:color="auto" w:fill="FFFFFF"/>
        <w:spacing w:before="120" w:after="120" w:line="240" w:lineRule="auto"/>
        <w:ind w:leftChars="0" w:left="1" w:firstLineChars="251" w:firstLine="706"/>
        <w:jc w:val="both"/>
        <w:rPr>
          <w:rFonts w:ascii="Times New Roman" w:eastAsia="Times New Roman" w:hAnsi="Times New Roman" w:cs="Times New Roman"/>
          <w:b/>
          <w:bCs/>
          <w:sz w:val="28"/>
          <w:szCs w:val="28"/>
        </w:rPr>
      </w:pPr>
      <w:r w:rsidRPr="002418E6">
        <w:rPr>
          <w:rFonts w:ascii="Times New Roman" w:eastAsia="Times New Roman" w:hAnsi="Times New Roman" w:cs="Times New Roman"/>
          <w:b/>
          <w:bCs/>
          <w:sz w:val="28"/>
          <w:szCs w:val="28"/>
        </w:rPr>
        <w:t>1. Phạm vi điều chỉnh:</w:t>
      </w:r>
    </w:p>
    <w:p w14:paraId="71A92366" w14:textId="77777777" w:rsidR="002418E6" w:rsidRPr="002C6FE9" w:rsidRDefault="002418E6" w:rsidP="002418E6">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Nghị quyết này quy định mức thu học phí đối với cơ sở giáo dục mầm non, giáo dục phổ thông công lập, cơ sở giáo dục thường xuyên, cơ sở đào tạo khác thực hiện chương trình giáo dục phổ thông trên địa bàn Thành phố Hồ Chí Minh.</w:t>
      </w:r>
    </w:p>
    <w:p w14:paraId="00C001E9" w14:textId="6F3C8D3A" w:rsidR="002418E6" w:rsidRPr="002418E6" w:rsidRDefault="002418E6" w:rsidP="002418E6">
      <w:pPr>
        <w:shd w:val="clear" w:color="auto" w:fill="FFFFFF"/>
        <w:spacing w:before="120" w:after="120" w:line="240" w:lineRule="auto"/>
        <w:ind w:leftChars="0" w:left="1" w:firstLineChars="251" w:firstLine="706"/>
        <w:jc w:val="both"/>
        <w:rPr>
          <w:rFonts w:ascii="Times New Roman" w:eastAsia="Times New Roman" w:hAnsi="Times New Roman" w:cs="Times New Roman"/>
          <w:b/>
          <w:bCs/>
          <w:sz w:val="28"/>
          <w:szCs w:val="28"/>
        </w:rPr>
      </w:pPr>
      <w:r w:rsidRPr="002418E6">
        <w:rPr>
          <w:rFonts w:ascii="Times New Roman" w:eastAsia="Times New Roman" w:hAnsi="Times New Roman" w:cs="Times New Roman"/>
          <w:b/>
          <w:bCs/>
          <w:sz w:val="28"/>
          <w:szCs w:val="28"/>
        </w:rPr>
        <w:t>2. Đối tượng áp dụng:</w:t>
      </w:r>
    </w:p>
    <w:p w14:paraId="34158CE1" w14:textId="0102EABA" w:rsidR="002418E6" w:rsidRDefault="002418E6" w:rsidP="002418E6">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Trẻ em mầm non và học sinh phổ thông đang theo học tại các cơ sở giáo dục mầm non, giáo dục phổ thông công lập và học viên đang theo học tại cơ sở giáo dục thường xuyên, cơ sở đào tạo khác theo chương trình giáo dục phổ thông của Thành phố Hồ Chí Minh.</w:t>
      </w:r>
    </w:p>
    <w:p w14:paraId="7A4BA9E0" w14:textId="46404F2B" w:rsidR="009C3AC3" w:rsidRDefault="00121A37" w:rsidP="00902D15">
      <w:pPr>
        <w:tabs>
          <w:tab w:val="left" w:pos="993"/>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IV. </w:t>
      </w:r>
      <w:r w:rsidR="00E04CFF">
        <w:rPr>
          <w:rFonts w:ascii="Times New Roman" w:eastAsia="Times New Roman" w:hAnsi="Times New Roman" w:cs="Times New Roman"/>
          <w:b/>
          <w:sz w:val="28"/>
          <w:szCs w:val="28"/>
        </w:rPr>
        <w:t xml:space="preserve">QUÁ TRÌNH XÂY DỰNG DỰ THẢO </w:t>
      </w:r>
      <w:r w:rsidR="00E04CFF" w:rsidRPr="002418E6">
        <w:rPr>
          <w:rFonts w:ascii="Times New Roman" w:eastAsia="Times New Roman" w:hAnsi="Times New Roman" w:cs="Times New Roman"/>
          <w:b/>
          <w:color w:val="000000"/>
          <w:sz w:val="28"/>
          <w:szCs w:val="28"/>
        </w:rPr>
        <w:t>VĂN BẢN</w:t>
      </w:r>
    </w:p>
    <w:p w14:paraId="476D5E20" w14:textId="7CB15EAA" w:rsidR="00A06CAC" w:rsidRDefault="00A06CAC" w:rsidP="008C0E00">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 xml:space="preserve">Ngày </w:t>
      </w:r>
      <w:r w:rsidR="008C4E92">
        <w:rPr>
          <w:rFonts w:ascii="Times New Roman" w:eastAsia="Times New Roman" w:hAnsi="Times New Roman" w:cs="Times New Roman"/>
          <w:sz w:val="28"/>
          <w:szCs w:val="28"/>
        </w:rPr>
        <w:t>08</w:t>
      </w:r>
      <w:r w:rsidRPr="00A06CAC">
        <w:rPr>
          <w:rFonts w:ascii="Times New Roman" w:eastAsia="Times New Roman" w:hAnsi="Times New Roman" w:cs="Times New Roman"/>
          <w:sz w:val="28"/>
          <w:szCs w:val="28"/>
        </w:rPr>
        <w:t xml:space="preserve"> tháng </w:t>
      </w:r>
      <w:r w:rsidR="008C4E92">
        <w:rPr>
          <w:rFonts w:ascii="Times New Roman" w:eastAsia="Times New Roman" w:hAnsi="Times New Roman" w:cs="Times New Roman"/>
          <w:sz w:val="28"/>
          <w:szCs w:val="28"/>
        </w:rPr>
        <w:t>5</w:t>
      </w:r>
      <w:r w:rsidRPr="00A06CAC">
        <w:rPr>
          <w:rFonts w:ascii="Times New Roman" w:eastAsia="Times New Roman" w:hAnsi="Times New Roman" w:cs="Times New Roman"/>
          <w:sz w:val="28"/>
          <w:szCs w:val="28"/>
        </w:rPr>
        <w:t xml:space="preserve"> năm 202</w:t>
      </w:r>
      <w:r w:rsidR="008C0E00">
        <w:rPr>
          <w:rFonts w:ascii="Times New Roman" w:eastAsia="Times New Roman" w:hAnsi="Times New Roman" w:cs="Times New Roman"/>
          <w:sz w:val="28"/>
          <w:szCs w:val="28"/>
        </w:rPr>
        <w:t>4</w:t>
      </w:r>
      <w:r w:rsidRPr="00A06CAC">
        <w:rPr>
          <w:rFonts w:ascii="Times New Roman" w:eastAsia="Times New Roman" w:hAnsi="Times New Roman" w:cs="Times New Roman"/>
          <w:sz w:val="28"/>
          <w:szCs w:val="28"/>
        </w:rPr>
        <w:t xml:space="preserve">, Sở Giáo dục và Đào tạo đã có </w:t>
      </w:r>
      <w:r w:rsidR="008C0E00">
        <w:rPr>
          <w:rFonts w:ascii="Times New Roman" w:eastAsia="Times New Roman" w:hAnsi="Times New Roman" w:cs="Times New Roman"/>
          <w:sz w:val="28"/>
          <w:szCs w:val="28"/>
        </w:rPr>
        <w:t>Tờ trình</w:t>
      </w:r>
      <w:r w:rsidRPr="00A06CAC">
        <w:rPr>
          <w:rFonts w:ascii="Times New Roman" w:eastAsia="Times New Roman" w:hAnsi="Times New Roman" w:cs="Times New Roman"/>
          <w:sz w:val="28"/>
          <w:szCs w:val="28"/>
        </w:rPr>
        <w:t xml:space="preserve"> số </w:t>
      </w:r>
      <w:r w:rsidR="008C4E92">
        <w:rPr>
          <w:rFonts w:ascii="Times New Roman" w:eastAsia="Times New Roman" w:hAnsi="Times New Roman" w:cs="Times New Roman"/>
          <w:sz w:val="28"/>
          <w:szCs w:val="28"/>
        </w:rPr>
        <w:t>2776</w:t>
      </w:r>
      <w:r w:rsidRPr="00A06CAC">
        <w:rPr>
          <w:rFonts w:ascii="Times New Roman" w:eastAsia="Times New Roman" w:hAnsi="Times New Roman" w:cs="Times New Roman"/>
          <w:sz w:val="28"/>
          <w:szCs w:val="28"/>
        </w:rPr>
        <w:t>/</w:t>
      </w:r>
      <w:r w:rsidR="008C0E00">
        <w:rPr>
          <w:rFonts w:ascii="Times New Roman" w:eastAsia="Times New Roman" w:hAnsi="Times New Roman" w:cs="Times New Roman"/>
          <w:sz w:val="28"/>
          <w:szCs w:val="28"/>
        </w:rPr>
        <w:t>TTr-SGDĐT</w:t>
      </w:r>
      <w:r w:rsidRPr="00A06CAC">
        <w:rPr>
          <w:rFonts w:ascii="Times New Roman" w:eastAsia="Times New Roman" w:hAnsi="Times New Roman" w:cs="Times New Roman"/>
          <w:sz w:val="28"/>
          <w:szCs w:val="28"/>
        </w:rPr>
        <w:t xml:space="preserve"> </w:t>
      </w:r>
      <w:r w:rsidR="008C0E00">
        <w:rPr>
          <w:rFonts w:ascii="Times New Roman" w:eastAsia="Times New Roman" w:hAnsi="Times New Roman" w:cs="Times New Roman"/>
          <w:sz w:val="28"/>
          <w:szCs w:val="28"/>
        </w:rPr>
        <w:t xml:space="preserve">tham mưu Ủy ban nhân dân Thành phố </w:t>
      </w:r>
      <w:r w:rsidR="008C0E00" w:rsidRPr="00A06CAC">
        <w:rPr>
          <w:rFonts w:ascii="Times New Roman" w:eastAsia="Times New Roman" w:hAnsi="Times New Roman" w:cs="Times New Roman"/>
          <w:sz w:val="28"/>
          <w:szCs w:val="28"/>
        </w:rPr>
        <w:t xml:space="preserve">hồ sơ dự thảo Tờ trình </w:t>
      </w:r>
      <w:r w:rsidR="008C0E00">
        <w:rPr>
          <w:rFonts w:ascii="Times New Roman" w:eastAsia="Times New Roman" w:hAnsi="Times New Roman" w:cs="Times New Roman"/>
          <w:sz w:val="28"/>
          <w:szCs w:val="28"/>
        </w:rPr>
        <w:t xml:space="preserve">về </w:t>
      </w:r>
      <w:r w:rsidR="008C0E00" w:rsidRPr="008C0E00">
        <w:rPr>
          <w:rFonts w:ascii="Times New Roman" w:eastAsia="Times New Roman" w:hAnsi="Times New Roman" w:cs="Times New Roman"/>
          <w:sz w:val="28"/>
          <w:szCs w:val="28"/>
        </w:rPr>
        <w:t xml:space="preserve">đề nghị xây dựng Nghị quyết quy định </w:t>
      </w:r>
      <w:r w:rsidR="008C4E92" w:rsidRPr="008C4E92">
        <w:rPr>
          <w:rFonts w:ascii="Times New Roman" w:eastAsia="Times New Roman" w:hAnsi="Times New Roman" w:cs="Times New Roman"/>
          <w:sz w:val="28"/>
          <w:szCs w:val="28"/>
        </w:rPr>
        <w:t xml:space="preserve">mức học phí đối với giáo dục mầm non, </w:t>
      </w:r>
      <w:r w:rsidR="008C4E92" w:rsidRPr="008C4E92">
        <w:rPr>
          <w:rFonts w:ascii="Times New Roman" w:eastAsia="Times New Roman" w:hAnsi="Times New Roman" w:cs="Times New Roman"/>
          <w:sz w:val="28"/>
          <w:szCs w:val="28"/>
        </w:rPr>
        <w:lastRenderedPageBreak/>
        <w:t>giáo dục phổ thông công lập từ năm học 2024-2025 và các năm học tiếp theo trên địa bàn Thành phố Hồ Chí Minh</w:t>
      </w:r>
      <w:r w:rsidR="008C0E00">
        <w:rPr>
          <w:rFonts w:ascii="Times New Roman" w:eastAsia="Times New Roman" w:hAnsi="Times New Roman" w:cs="Times New Roman"/>
          <w:sz w:val="28"/>
          <w:szCs w:val="28"/>
        </w:rPr>
        <w:t xml:space="preserve"> trình Thường trực Hội đồng nhân dân Thành phố cho ý kiến</w:t>
      </w:r>
      <w:r w:rsidRPr="00A06CAC">
        <w:rPr>
          <w:rFonts w:ascii="Times New Roman" w:eastAsia="Times New Roman" w:hAnsi="Times New Roman" w:cs="Times New Roman"/>
          <w:sz w:val="28"/>
          <w:szCs w:val="28"/>
        </w:rPr>
        <w:t>.</w:t>
      </w:r>
      <w:r w:rsidR="00C20B74">
        <w:rPr>
          <w:rFonts w:ascii="Times New Roman" w:eastAsia="Times New Roman" w:hAnsi="Times New Roman" w:cs="Times New Roman"/>
          <w:sz w:val="28"/>
          <w:szCs w:val="28"/>
        </w:rPr>
        <w:t xml:space="preserve"> </w:t>
      </w:r>
      <w:r w:rsidR="00C20B74">
        <w:rPr>
          <w:rFonts w:ascii="Times New Roman" w:eastAsia="Times New Roman" w:hAnsi="Times New Roman" w:cs="Times New Roman"/>
          <w:sz w:val="28"/>
          <w:szCs w:val="28"/>
        </w:rPr>
        <w:t>C</w:t>
      </w:r>
      <w:r w:rsidR="00C20B74" w:rsidRPr="00D34FB2">
        <w:rPr>
          <w:rFonts w:ascii="Times New Roman" w:eastAsia="Times New Roman" w:hAnsi="Times New Roman" w:cs="Times New Roman"/>
          <w:sz w:val="28"/>
          <w:szCs w:val="28"/>
        </w:rPr>
        <w:t>ông khai nội dung trên cổng thông tin điện tử để lấy ý kiến góp ý rộng rãi đối với dự thảo</w:t>
      </w:r>
      <w:r w:rsidR="00C20B74">
        <w:rPr>
          <w:rFonts w:ascii="Times New Roman" w:eastAsia="Times New Roman" w:hAnsi="Times New Roman" w:cs="Times New Roman"/>
          <w:sz w:val="28"/>
          <w:szCs w:val="28"/>
        </w:rPr>
        <w:t xml:space="preserve"> Nghị quyết từ ngày 15 tháng 5 năm 2024 theo </w:t>
      </w:r>
      <w:r w:rsidR="00C20B74" w:rsidRPr="00D34FB2">
        <w:rPr>
          <w:rFonts w:ascii="Times New Roman" w:eastAsia="Times New Roman" w:hAnsi="Times New Roman" w:cs="Times New Roman"/>
          <w:color w:val="FF0000"/>
          <w:sz w:val="28"/>
          <w:szCs w:val="28"/>
        </w:rPr>
        <w:t>đường link:</w:t>
      </w:r>
    </w:p>
    <w:p w14:paraId="52A9799B" w14:textId="0FE63F2D" w:rsidR="008C4E92" w:rsidRDefault="008C4E92" w:rsidP="008C0E00">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30 tháng 5 năm 2024, Ủy ban nhân dân Thành phố có Tờ trình số 3019/TTr-UBND trình Thường trực Hội đồng nhân dân Thành phố về </w:t>
      </w:r>
      <w:r w:rsidRPr="008C0E00">
        <w:rPr>
          <w:rFonts w:ascii="Times New Roman" w:eastAsia="Times New Roman" w:hAnsi="Times New Roman" w:cs="Times New Roman"/>
          <w:sz w:val="28"/>
          <w:szCs w:val="28"/>
        </w:rPr>
        <w:t xml:space="preserve">đề nghị xây dựng Nghị quyết quy định </w:t>
      </w:r>
      <w:r w:rsidRPr="008C4E92">
        <w:rPr>
          <w:rFonts w:ascii="Times New Roman" w:eastAsia="Times New Roman" w:hAnsi="Times New Roman" w:cs="Times New Roman"/>
          <w:sz w:val="28"/>
          <w:szCs w:val="28"/>
        </w:rPr>
        <w:t>mức học phí đối với giáo dục mầm non, giáo dục phổ thông công lập từ năm học 2024-2025 và các năm học tiếp theo trên địa bàn Thành phố Hồ Chí Minh</w:t>
      </w:r>
      <w:r>
        <w:rPr>
          <w:rFonts w:ascii="Times New Roman" w:eastAsia="Times New Roman" w:hAnsi="Times New Roman" w:cs="Times New Roman"/>
          <w:sz w:val="28"/>
          <w:szCs w:val="28"/>
        </w:rPr>
        <w:t>.</w:t>
      </w:r>
    </w:p>
    <w:p w14:paraId="794D70C2" w14:textId="18C261E3" w:rsidR="008C0E00" w:rsidRDefault="008C0E00" w:rsidP="008C0E00">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8C0E00">
        <w:rPr>
          <w:rFonts w:ascii="Times New Roman" w:eastAsia="Times New Roman" w:hAnsi="Times New Roman" w:cs="Times New Roman"/>
          <w:sz w:val="28"/>
          <w:szCs w:val="28"/>
        </w:rPr>
        <w:t xml:space="preserve">Thực hiện ý kiến chỉ đạo của Thường trực Hội đồng nhân dân Thành phố tại Công văn số </w:t>
      </w:r>
      <w:r w:rsidR="008C4E92">
        <w:rPr>
          <w:rFonts w:ascii="Times New Roman" w:eastAsia="Times New Roman" w:hAnsi="Times New Roman" w:cs="Times New Roman"/>
          <w:sz w:val="28"/>
          <w:szCs w:val="28"/>
        </w:rPr>
        <w:t>472</w:t>
      </w:r>
      <w:r w:rsidRPr="008C0E00">
        <w:rPr>
          <w:rFonts w:ascii="Times New Roman" w:eastAsia="Times New Roman" w:hAnsi="Times New Roman" w:cs="Times New Roman"/>
          <w:sz w:val="28"/>
          <w:szCs w:val="28"/>
        </w:rPr>
        <w:t>/HĐND ngày 0</w:t>
      </w:r>
      <w:r w:rsidR="008C4E92">
        <w:rPr>
          <w:rFonts w:ascii="Times New Roman" w:eastAsia="Times New Roman" w:hAnsi="Times New Roman" w:cs="Times New Roman"/>
          <w:sz w:val="28"/>
          <w:szCs w:val="28"/>
        </w:rPr>
        <w:t>4</w:t>
      </w:r>
      <w:r w:rsidRPr="008C0E00">
        <w:rPr>
          <w:rFonts w:ascii="Times New Roman" w:eastAsia="Times New Roman" w:hAnsi="Times New Roman" w:cs="Times New Roman"/>
          <w:sz w:val="28"/>
          <w:szCs w:val="28"/>
        </w:rPr>
        <w:t xml:space="preserve"> tháng </w:t>
      </w:r>
      <w:r w:rsidR="008C4E92">
        <w:rPr>
          <w:rFonts w:ascii="Times New Roman" w:eastAsia="Times New Roman" w:hAnsi="Times New Roman" w:cs="Times New Roman"/>
          <w:sz w:val="28"/>
          <w:szCs w:val="28"/>
        </w:rPr>
        <w:t>6</w:t>
      </w:r>
      <w:r w:rsidRPr="008C0E00">
        <w:rPr>
          <w:rFonts w:ascii="Times New Roman" w:eastAsia="Times New Roman" w:hAnsi="Times New Roman" w:cs="Times New Roman"/>
          <w:sz w:val="28"/>
          <w:szCs w:val="28"/>
        </w:rPr>
        <w:t xml:space="preserve"> năm 2024 về việc cho ý kiến </w:t>
      </w:r>
      <w:r w:rsidR="008C4E92">
        <w:rPr>
          <w:rFonts w:ascii="Times New Roman" w:eastAsia="Times New Roman" w:hAnsi="Times New Roman" w:cs="Times New Roman"/>
          <w:sz w:val="28"/>
          <w:szCs w:val="28"/>
        </w:rPr>
        <w:t>về đề nghị</w:t>
      </w:r>
      <w:r w:rsidRPr="008C0E00">
        <w:rPr>
          <w:rFonts w:ascii="Times New Roman" w:eastAsia="Times New Roman" w:hAnsi="Times New Roman" w:cs="Times New Roman"/>
          <w:sz w:val="28"/>
          <w:szCs w:val="28"/>
        </w:rPr>
        <w:t xml:space="preserve"> xây dựng Nghị quyết </w:t>
      </w:r>
      <w:r w:rsidR="008C4E92" w:rsidRPr="008C4E92">
        <w:rPr>
          <w:rFonts w:ascii="Times New Roman" w:eastAsia="Times New Roman" w:hAnsi="Times New Roman" w:cs="Times New Roman"/>
          <w:sz w:val="28"/>
          <w:szCs w:val="28"/>
        </w:rPr>
        <w:t>quy định mức học phí đối với giáo dục mầm non, giáo dục phổ thông công lập từ năm học 2024-2025 và các năm học tiếp theo trên địa bàn Thành phố Hồ Chí Minh</w:t>
      </w:r>
      <w:r w:rsidRPr="008C0E00">
        <w:rPr>
          <w:rFonts w:ascii="Times New Roman" w:eastAsia="Times New Roman" w:hAnsi="Times New Roman" w:cs="Times New Roman"/>
          <w:sz w:val="28"/>
          <w:szCs w:val="28"/>
        </w:rPr>
        <w:t xml:space="preserve">: </w:t>
      </w:r>
      <w:r w:rsidRPr="008C0E00">
        <w:rPr>
          <w:rFonts w:ascii="Times New Roman" w:eastAsia="Times New Roman" w:hAnsi="Times New Roman" w:cs="Times New Roman"/>
          <w:i/>
          <w:sz w:val="28"/>
          <w:szCs w:val="28"/>
        </w:rPr>
        <w:t>“</w:t>
      </w:r>
      <w:r w:rsidR="008C4E92" w:rsidRPr="008C4E92">
        <w:rPr>
          <w:rFonts w:ascii="Times New Roman" w:eastAsia="Times New Roman" w:hAnsi="Times New Roman" w:cs="Times New Roman"/>
          <w:i/>
          <w:sz w:val="28"/>
          <w:szCs w:val="28"/>
        </w:rPr>
        <w:t>Chấp thuận để Ủy ban nhân dân Thành phố nghiên cứu, xây dựng Nghị quyết quy định mức học phí đối với giáo dục mầm non, giáo dục phổ thông công lập từ năm học 2024 - 2025 và các năm học tiếp theo trên địa bàn Thành phố Hồ Chí Minh, trình Hội đồng nhân dân Thành phố theo đúng quy định của pháp luật, đảm bảo thời gian, hồ sơ pháp lý.</w:t>
      </w:r>
      <w:r w:rsidRPr="008C0E00">
        <w:rPr>
          <w:rFonts w:ascii="Times New Roman" w:eastAsia="Times New Roman" w:hAnsi="Times New Roman" w:cs="Times New Roman"/>
          <w:i/>
          <w:sz w:val="28"/>
          <w:szCs w:val="28"/>
        </w:rPr>
        <w:t>”</w:t>
      </w:r>
    </w:p>
    <w:p w14:paraId="156AA4B9" w14:textId="7B1C0055" w:rsidR="00C20B74" w:rsidRDefault="00C20B74" w:rsidP="00C20B74">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 xml:space="preserve">Sở Giáo dục và Đào tạo đã nghiên cứu và xây dựng dự thảo ban hành Nghị quyết </w:t>
      </w:r>
      <w:r w:rsidRPr="00C20B74">
        <w:rPr>
          <w:rFonts w:ascii="Times New Roman" w:eastAsia="Times New Roman" w:hAnsi="Times New Roman" w:cs="Times New Roman"/>
          <w:sz w:val="28"/>
          <w:szCs w:val="28"/>
        </w:rPr>
        <w:t>quy định mức học phí đối với giáo dục mầm non, giáo dục phổ thông công lập từ năm học 2024-2025 và các năm học tiếp theo trên địa bàn Thành phố Hồ Chí Minh</w:t>
      </w:r>
      <w:r>
        <w:rPr>
          <w:rFonts w:ascii="Times New Roman" w:eastAsia="Times New Roman" w:hAnsi="Times New Roman" w:cs="Times New Roman"/>
          <w:sz w:val="28"/>
          <w:szCs w:val="28"/>
        </w:rPr>
        <w:t xml:space="preserve"> và</w:t>
      </w:r>
      <w:r>
        <w:rPr>
          <w:rFonts w:ascii="Times New Roman" w:eastAsia="Times New Roman" w:hAnsi="Times New Roman" w:cs="Times New Roman"/>
          <w:sz w:val="28"/>
          <w:szCs w:val="28"/>
        </w:rPr>
        <w:t xml:space="preserve"> có Công văn số 3</w:t>
      </w:r>
      <w:r>
        <w:rPr>
          <w:rFonts w:ascii="Times New Roman" w:eastAsia="Times New Roman" w:hAnsi="Times New Roman" w:cs="Times New Roman"/>
          <w:sz w:val="28"/>
          <w:szCs w:val="28"/>
        </w:rPr>
        <w:t>764</w:t>
      </w:r>
      <w:r>
        <w:rPr>
          <w:rFonts w:ascii="Times New Roman" w:eastAsia="Times New Roman" w:hAnsi="Times New Roman" w:cs="Times New Roman"/>
          <w:sz w:val="28"/>
          <w:szCs w:val="28"/>
        </w:rPr>
        <w:t xml:space="preserve">/SGDĐT-KHTC ngày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tháng 6 năm 2024 gửi Ủy ban Mặt trận Tổ quốc Việt Nam Thành phố Hồ Chí Minh, các sở ngành Thành phố, Ủy ban nhân dân các quận, huyện, thành phố Thủ Đức để lấy ý kiến góp ý đối với dự thảo Nghị quyết.</w:t>
      </w:r>
    </w:p>
    <w:p w14:paraId="373DFA04" w14:textId="53198D40" w:rsidR="00C20B74" w:rsidRDefault="00C20B74" w:rsidP="00C20B74">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cơ sở tổng hợp, nghiên cứu và tiếp thu ý kiến góp ý của Ủy ban Mặt trận Tổ quốc Việt Nam Thành phố Hồ Chí Minh tại Công văn số </w:t>
      </w:r>
      <w:r>
        <w:rPr>
          <w:rFonts w:ascii="Times New Roman" w:eastAsia="Times New Roman" w:hAnsi="Times New Roman" w:cs="Times New Roman"/>
          <w:sz w:val="28"/>
          <w:szCs w:val="28"/>
        </w:rPr>
        <w:t>…</w:t>
      </w:r>
      <w:r w:rsidRPr="00846418">
        <w:rPr>
          <w:rFonts w:ascii="Times New Roman" w:eastAsia="Times New Roman" w:hAnsi="Times New Roman" w:cs="Times New Roman"/>
          <w:sz w:val="28"/>
          <w:szCs w:val="28"/>
        </w:rPr>
        <w:t>/MTTQ-BTT</w:t>
      </w:r>
      <w:r>
        <w:rPr>
          <w:rFonts w:ascii="Times New Roman" w:eastAsia="Times New Roman" w:hAnsi="Times New Roman" w:cs="Times New Roman"/>
          <w:sz w:val="28"/>
          <w:szCs w:val="28"/>
        </w:rPr>
        <w:t xml:space="preserve"> </w:t>
      </w:r>
      <w:r w:rsidRPr="00846418">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w:t>
      </w:r>
      <w:r w:rsidRPr="00846418">
        <w:rPr>
          <w:rFonts w:ascii="Times New Roman" w:eastAsia="Times New Roman" w:hAnsi="Times New Roman" w:cs="Times New Roman"/>
          <w:sz w:val="28"/>
          <w:szCs w:val="28"/>
        </w:rPr>
        <w:t>/6/2024</w:t>
      </w:r>
      <w:r>
        <w:rPr>
          <w:rFonts w:ascii="Times New Roman" w:eastAsia="Times New Roman" w:hAnsi="Times New Roman" w:cs="Times New Roman"/>
          <w:sz w:val="28"/>
          <w:szCs w:val="28"/>
        </w:rPr>
        <w:t xml:space="preserve">; Sở Tư pháp tại Công văn số </w:t>
      </w:r>
      <w:r>
        <w:rPr>
          <w:rFonts w:ascii="Times New Roman" w:eastAsia="Times New Roman" w:hAnsi="Times New Roman" w:cs="Times New Roman"/>
          <w:sz w:val="28"/>
          <w:szCs w:val="28"/>
        </w:rPr>
        <w:t>…</w:t>
      </w:r>
      <w:r w:rsidRPr="00846418">
        <w:rPr>
          <w:rFonts w:ascii="Times New Roman" w:eastAsia="Times New Roman" w:hAnsi="Times New Roman" w:cs="Times New Roman"/>
          <w:sz w:val="28"/>
          <w:szCs w:val="28"/>
        </w:rPr>
        <w:t xml:space="preserve">/STP-VB ngày </w:t>
      </w:r>
      <w:r>
        <w:rPr>
          <w:rFonts w:ascii="Times New Roman" w:eastAsia="Times New Roman" w:hAnsi="Times New Roman" w:cs="Times New Roman"/>
          <w:sz w:val="28"/>
          <w:szCs w:val="28"/>
        </w:rPr>
        <w:t>…</w:t>
      </w:r>
      <w:r w:rsidRPr="00846418">
        <w:rPr>
          <w:rFonts w:ascii="Times New Roman" w:eastAsia="Times New Roman" w:hAnsi="Times New Roman" w:cs="Times New Roman"/>
          <w:sz w:val="28"/>
          <w:szCs w:val="28"/>
        </w:rPr>
        <w:t>/6/2024</w:t>
      </w:r>
      <w:r>
        <w:rPr>
          <w:rFonts w:ascii="Times New Roman" w:eastAsia="Times New Roman" w:hAnsi="Times New Roman" w:cs="Times New Roman"/>
          <w:sz w:val="28"/>
          <w:szCs w:val="28"/>
        </w:rPr>
        <w:t xml:space="preserve">; Sở Tài chính tại Công văn số …/STC-HCSN ngày…/6/2024; ý kiến góp ý của Ủy ban nhân dân thành phố Thủ Đức và 21 quận huyện; ý kiến của các sở ngành Thành phố (đính kèm </w:t>
      </w:r>
      <w:r w:rsidRPr="00FC7053">
        <w:rPr>
          <w:rFonts w:ascii="Times New Roman" w:eastAsia="Times New Roman" w:hAnsi="Times New Roman" w:cs="Times New Roman"/>
          <w:sz w:val="28"/>
          <w:szCs w:val="28"/>
        </w:rPr>
        <w:t>Bản tổng hợp, giải trình, tiếp thu ý kiến góp ý</w:t>
      </w:r>
      <w:r>
        <w:rPr>
          <w:rFonts w:ascii="Times New Roman" w:eastAsia="Times New Roman" w:hAnsi="Times New Roman" w:cs="Times New Roman"/>
          <w:sz w:val="28"/>
          <w:szCs w:val="28"/>
        </w:rPr>
        <w:t xml:space="preserve">), Sở Giáo dục và Đào tạo đã điều chỉnh nội dung và có Công văn số …/SGDĐT-KHTC ngày …/6/2024 gửi Sở Tư pháp đề nghị thẩm định hồ sơ tham mưu Ủy ban nhân dân trình Hội đồng nhân dân ban hành Nghị quyết </w:t>
      </w:r>
      <w:r w:rsidRPr="00C20B74">
        <w:rPr>
          <w:rFonts w:ascii="Times New Roman" w:eastAsia="Times New Roman" w:hAnsi="Times New Roman" w:cs="Times New Roman"/>
          <w:sz w:val="28"/>
          <w:szCs w:val="28"/>
        </w:rPr>
        <w:t>quy định mức học phí đối với giáo dục mầm non, giáo dục phổ thông công lập từ năm học 2024-2025 và các năm học tiếp theo trên địa bàn Thành phố Hồ Chí Minh</w:t>
      </w:r>
      <w:r>
        <w:rPr>
          <w:rFonts w:ascii="Times New Roman" w:eastAsia="Times New Roman" w:hAnsi="Times New Roman" w:cs="Times New Roman"/>
          <w:sz w:val="28"/>
          <w:szCs w:val="28"/>
        </w:rPr>
        <w:t>.</w:t>
      </w:r>
    </w:p>
    <w:p w14:paraId="48D10813" w14:textId="1E0AE4A3" w:rsidR="00DB0019" w:rsidRPr="00DB0019" w:rsidRDefault="00DB0019" w:rsidP="00DB0019">
      <w:pPr>
        <w:shd w:val="clear" w:color="auto" w:fill="FFFFFF"/>
        <w:spacing w:before="120" w:after="120" w:line="240" w:lineRule="auto"/>
        <w:ind w:leftChars="0" w:firstLineChars="251" w:firstLine="703"/>
        <w:jc w:val="both"/>
        <w:rPr>
          <w:rFonts w:ascii="Times New Roman" w:eastAsia="Times New Roman" w:hAnsi="Times New Roman" w:cs="Times New Roman"/>
          <w:color w:val="FF0000"/>
          <w:sz w:val="28"/>
          <w:szCs w:val="28"/>
        </w:rPr>
      </w:pPr>
      <w:r w:rsidRPr="00DB0019">
        <w:rPr>
          <w:rFonts w:ascii="Times New Roman" w:eastAsia="Times New Roman" w:hAnsi="Times New Roman" w:cs="Times New Roman"/>
          <w:color w:val="FF0000"/>
          <w:sz w:val="28"/>
          <w:szCs w:val="28"/>
        </w:rPr>
        <w:t>(Tiếp tục cập nhật)</w:t>
      </w:r>
    </w:p>
    <w:p w14:paraId="4D4EF5B4" w14:textId="45E41211"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 </w:t>
      </w:r>
      <w:r w:rsidR="00E04CFF">
        <w:rPr>
          <w:rFonts w:ascii="Times New Roman" w:eastAsia="Times New Roman" w:hAnsi="Times New Roman" w:cs="Times New Roman"/>
          <w:b/>
          <w:sz w:val="28"/>
          <w:szCs w:val="28"/>
        </w:rPr>
        <w:t xml:space="preserve">BỐ CỤC VÀ NỘI DUNG CƠ BẢN CỦA DỰ THẢO </w:t>
      </w:r>
      <w:r w:rsidR="00E04CFF" w:rsidRPr="002418E6">
        <w:rPr>
          <w:rFonts w:ascii="Times New Roman" w:eastAsia="Times New Roman" w:hAnsi="Times New Roman" w:cs="Times New Roman"/>
          <w:b/>
          <w:color w:val="000000"/>
          <w:sz w:val="28"/>
          <w:szCs w:val="28"/>
        </w:rPr>
        <w:t>VĂN BẢN</w:t>
      </w:r>
    </w:p>
    <w:p w14:paraId="6934E34A" w14:textId="77777777"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Bố cục </w:t>
      </w:r>
    </w:p>
    <w:p w14:paraId="2D00731D" w14:textId="7118FC3A" w:rsidR="009C3AC3"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Nghị quyết gồm 0</w:t>
      </w:r>
      <w:r w:rsidR="005314C5">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Điều quy định cụ thể về </w:t>
      </w:r>
      <w:r w:rsidR="005314C5" w:rsidRPr="005314C5">
        <w:rPr>
          <w:rFonts w:ascii="Times New Roman" w:eastAsia="Times New Roman" w:hAnsi="Times New Roman" w:cs="Times New Roman"/>
          <w:sz w:val="28"/>
          <w:szCs w:val="28"/>
        </w:rPr>
        <w:t>mức học phí đối với giáo dục mầm non, giáo dục phổ thông công lập từ năm học 2024-2025 và các năm học tiếp theo trên địa bàn Thành phố Hồ Chí Minh</w:t>
      </w:r>
      <w:r w:rsidR="00E779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như sau:</w:t>
      </w:r>
    </w:p>
    <w:p w14:paraId="054CE23A" w14:textId="77777777" w:rsidR="009C3AC3"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Điều 1. Phạm vi điều chỉnh và đối tượng áp dụng </w:t>
      </w:r>
    </w:p>
    <w:p w14:paraId="6A6C401F" w14:textId="6C6C4F8B" w:rsidR="00907748"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2. </w:t>
      </w:r>
      <w:r w:rsidR="00AB4927" w:rsidRPr="00AB4927">
        <w:rPr>
          <w:rFonts w:ascii="Times New Roman" w:eastAsia="Times New Roman" w:hAnsi="Times New Roman" w:cs="Times New Roman"/>
          <w:sz w:val="28"/>
          <w:szCs w:val="28"/>
        </w:rPr>
        <w:t>Học phí đối với giáo dục mầm non, phổ thông</w:t>
      </w:r>
    </w:p>
    <w:p w14:paraId="082E981D" w14:textId="77777777" w:rsidR="00AB4927" w:rsidRDefault="00907748"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3. </w:t>
      </w:r>
      <w:r w:rsidR="00AB4927">
        <w:rPr>
          <w:rFonts w:ascii="Times New Roman" w:eastAsia="Times New Roman" w:hAnsi="Times New Roman" w:cs="Times New Roman"/>
          <w:sz w:val="28"/>
          <w:szCs w:val="28"/>
        </w:rPr>
        <w:t xml:space="preserve">Tổ chức thực hiện </w:t>
      </w:r>
    </w:p>
    <w:p w14:paraId="22844BD3" w14:textId="0BAD5954"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Nội dung cơ bản của dự thảo </w:t>
      </w:r>
      <w:r w:rsidR="00E04CFF" w:rsidRPr="00E04CFF">
        <w:rPr>
          <w:rFonts w:ascii="Times New Roman" w:eastAsia="Times New Roman" w:hAnsi="Times New Roman" w:cs="Times New Roman"/>
          <w:b/>
          <w:sz w:val="28"/>
          <w:szCs w:val="28"/>
        </w:rPr>
        <w:t>văn bản</w:t>
      </w:r>
    </w:p>
    <w:p w14:paraId="541BCE3F" w14:textId="66478D94" w:rsidR="002C6FE9" w:rsidRPr="002C6FE9" w:rsidRDefault="002C6FE9"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2.1. Mức học phí trên địa bàn Thành phố Hồ Chí Minh được chia thành 2 nhóm đối tượng như sau</w:t>
      </w:r>
    </w:p>
    <w:p w14:paraId="49C42CF0" w14:textId="77777777" w:rsidR="002C6FE9" w:rsidRPr="002C6FE9" w:rsidRDefault="002C6FE9"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 xml:space="preserve">a) Nhóm 1: Học sinh học tại các trường ở thành phố Thủ Đức và các quận: 1, 3, 4, 5, 6, 7, 8, 10, 11, 12, Bình Thạnh, Phú Nhuận, Gò Vấp, Tân Bình, Tân Phú, Bình Tân. </w:t>
      </w:r>
    </w:p>
    <w:p w14:paraId="05FCDC2A" w14:textId="77777777" w:rsidR="002C6FE9" w:rsidRPr="002C6FE9" w:rsidRDefault="002C6FE9"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b) Nhóm 2: Học sinh học tại các trường ở các huyện: Bình Chánh, Hóc Môn, Củ Chi, Nhà Bè và Cần Giờ.</w:t>
      </w:r>
    </w:p>
    <w:p w14:paraId="5F46FDB2" w14:textId="66FCDCF9" w:rsidR="002C6FE9" w:rsidRDefault="002C6FE9"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 xml:space="preserve">2.2.2. </w:t>
      </w:r>
      <w:r w:rsidR="00C91631" w:rsidRPr="00C91631">
        <w:rPr>
          <w:rFonts w:ascii="Times New Roman" w:eastAsia="Times New Roman" w:hAnsi="Times New Roman" w:cs="Times New Roman"/>
          <w:sz w:val="28"/>
          <w:szCs w:val="28"/>
        </w:rPr>
        <w:t>Mức học phí từ năm học 2024-2025 đối với cơ sở giáo dục mầm non, giáo dục phổ thông công lập chưa tự bảo đảm chi thường xuyên</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177"/>
        <w:gridCol w:w="2781"/>
      </w:tblGrid>
      <w:tr w:rsidR="00C91631" w:rsidRPr="00003E17" w14:paraId="20B949A2" w14:textId="77777777" w:rsidTr="00F00F8F">
        <w:trPr>
          <w:trHeight w:val="210"/>
        </w:trPr>
        <w:tc>
          <w:tcPr>
            <w:tcW w:w="3402" w:type="dxa"/>
            <w:vMerge w:val="restart"/>
            <w:tcBorders>
              <w:top w:val="single" w:sz="4" w:space="0" w:color="auto"/>
              <w:left w:val="single" w:sz="4" w:space="0" w:color="auto"/>
              <w:right w:val="single" w:sz="4" w:space="0" w:color="auto"/>
            </w:tcBorders>
            <w:vAlign w:val="center"/>
          </w:tcPr>
          <w:p w14:paraId="4F545AF8" w14:textId="77777777" w:rsidR="00C91631" w:rsidRPr="00CC3A59" w:rsidRDefault="00C91631" w:rsidP="00F00F8F">
            <w:pPr>
              <w:shd w:val="clear" w:color="auto" w:fill="FFFFFF"/>
              <w:spacing w:beforeLines="30" w:before="72" w:afterLines="30" w:after="72"/>
              <w:ind w:left="1" w:hanging="3"/>
              <w:rPr>
                <w:rFonts w:ascii="Times New Roman" w:hAnsi="Times New Roman" w:cs="Times New Roman"/>
                <w:b/>
                <w:bCs/>
                <w:sz w:val="28"/>
                <w:szCs w:val="28"/>
              </w:rPr>
            </w:pPr>
            <w:r w:rsidRPr="00CC3A59">
              <w:rPr>
                <w:b/>
                <w:bCs/>
                <w:i/>
                <w:sz w:val="28"/>
                <w:szCs w:val="28"/>
              </w:rPr>
              <w:tab/>
              <w:t xml:space="preserve">  </w:t>
            </w:r>
            <w:r w:rsidRPr="00CC3A59">
              <w:rPr>
                <w:rFonts w:ascii="Times New Roman" w:hAnsi="Times New Roman" w:cs="Times New Roman"/>
                <w:b/>
                <w:bCs/>
                <w:sz w:val="28"/>
                <w:szCs w:val="28"/>
              </w:rPr>
              <w:t>Cấp học</w:t>
            </w:r>
          </w:p>
        </w:tc>
        <w:tc>
          <w:tcPr>
            <w:tcW w:w="5958" w:type="dxa"/>
            <w:gridSpan w:val="2"/>
            <w:tcBorders>
              <w:left w:val="single" w:sz="4" w:space="0" w:color="auto"/>
            </w:tcBorders>
            <w:vAlign w:val="center"/>
          </w:tcPr>
          <w:p w14:paraId="7232C4EA" w14:textId="77777777" w:rsidR="00C91631" w:rsidRPr="00CC3A59" w:rsidRDefault="00C91631" w:rsidP="00F00F8F">
            <w:pPr>
              <w:shd w:val="clear" w:color="auto" w:fill="FFFFFF"/>
              <w:spacing w:beforeLines="30" w:before="72" w:afterLines="30" w:after="72"/>
              <w:ind w:left="1" w:hanging="3"/>
              <w:jc w:val="center"/>
              <w:rPr>
                <w:rFonts w:ascii="Times New Roman" w:hAnsi="Times New Roman" w:cs="Times New Roman"/>
                <w:b/>
                <w:bCs/>
                <w:sz w:val="28"/>
                <w:szCs w:val="28"/>
              </w:rPr>
            </w:pPr>
            <w:r w:rsidRPr="00CC3A59">
              <w:rPr>
                <w:rFonts w:ascii="Times New Roman" w:hAnsi="Times New Roman" w:cs="Times New Roman"/>
                <w:b/>
                <w:bCs/>
                <w:sz w:val="28"/>
                <w:szCs w:val="28"/>
              </w:rPr>
              <w:t xml:space="preserve">Mức học phí </w:t>
            </w:r>
            <w:r w:rsidRPr="00CC3A59">
              <w:rPr>
                <w:rFonts w:ascii="Times New Roman" w:hAnsi="Times New Roman" w:cs="Times New Roman"/>
                <w:b/>
                <w:bCs/>
                <w:spacing w:val="4"/>
                <w:sz w:val="28"/>
                <w:szCs w:val="28"/>
                <w:highlight w:val="white"/>
                <w:lang w:val="es-ES"/>
              </w:rPr>
              <w:t>(</w:t>
            </w:r>
            <w:r w:rsidRPr="00CC3A59">
              <w:rPr>
                <w:rFonts w:ascii="Times New Roman" w:hAnsi="Times New Roman" w:cs="Times New Roman"/>
                <w:b/>
                <w:bCs/>
                <w:sz w:val="28"/>
                <w:szCs w:val="28"/>
              </w:rPr>
              <w:t>Đồng/học sinh/tháng</w:t>
            </w:r>
            <w:r w:rsidRPr="00CC3A59">
              <w:rPr>
                <w:rFonts w:ascii="Times New Roman" w:hAnsi="Times New Roman" w:cs="Times New Roman"/>
                <w:b/>
                <w:bCs/>
                <w:spacing w:val="4"/>
                <w:sz w:val="28"/>
                <w:szCs w:val="28"/>
                <w:highlight w:val="white"/>
                <w:lang w:val="es-ES"/>
              </w:rPr>
              <w:t>)</w:t>
            </w:r>
          </w:p>
        </w:tc>
      </w:tr>
      <w:tr w:rsidR="00C91631" w:rsidRPr="00003E17" w14:paraId="41DE8CC7" w14:textId="77777777" w:rsidTr="00F00F8F">
        <w:trPr>
          <w:trHeight w:val="172"/>
        </w:trPr>
        <w:tc>
          <w:tcPr>
            <w:tcW w:w="3402" w:type="dxa"/>
            <w:vMerge/>
            <w:tcBorders>
              <w:left w:val="single" w:sz="4" w:space="0" w:color="auto"/>
              <w:bottom w:val="single" w:sz="4" w:space="0" w:color="auto"/>
              <w:right w:val="single" w:sz="4" w:space="0" w:color="auto"/>
            </w:tcBorders>
            <w:vAlign w:val="center"/>
          </w:tcPr>
          <w:p w14:paraId="7F4A92CE" w14:textId="77777777" w:rsidR="00C91631" w:rsidRPr="00CC3A59" w:rsidRDefault="00C91631" w:rsidP="00F00F8F">
            <w:pPr>
              <w:shd w:val="clear" w:color="auto" w:fill="FFFFFF"/>
              <w:spacing w:beforeLines="30" w:before="72" w:afterLines="30" w:after="72"/>
              <w:ind w:left="1" w:hanging="3"/>
              <w:jc w:val="both"/>
              <w:rPr>
                <w:rFonts w:ascii="Times New Roman" w:hAnsi="Times New Roman" w:cs="Times New Roman"/>
                <w:b/>
                <w:bCs/>
                <w:sz w:val="28"/>
                <w:szCs w:val="28"/>
              </w:rPr>
            </w:pPr>
          </w:p>
        </w:tc>
        <w:tc>
          <w:tcPr>
            <w:tcW w:w="3177" w:type="dxa"/>
            <w:tcBorders>
              <w:left w:val="single" w:sz="4" w:space="0" w:color="auto"/>
            </w:tcBorders>
            <w:vAlign w:val="center"/>
          </w:tcPr>
          <w:p w14:paraId="6AEEE98F" w14:textId="77777777" w:rsidR="00C91631" w:rsidRPr="00CC3A59" w:rsidRDefault="00C91631" w:rsidP="00F00F8F">
            <w:pPr>
              <w:shd w:val="clear" w:color="auto" w:fill="FFFFFF"/>
              <w:spacing w:beforeLines="30" w:before="72" w:afterLines="30" w:after="72"/>
              <w:ind w:left="1" w:hanging="3"/>
              <w:jc w:val="center"/>
              <w:rPr>
                <w:rFonts w:ascii="Times New Roman" w:hAnsi="Times New Roman" w:cs="Times New Roman"/>
                <w:b/>
                <w:bCs/>
                <w:sz w:val="28"/>
                <w:szCs w:val="28"/>
              </w:rPr>
            </w:pPr>
            <w:r w:rsidRPr="00CC3A59">
              <w:rPr>
                <w:rFonts w:ascii="Times New Roman" w:hAnsi="Times New Roman" w:cs="Times New Roman"/>
                <w:b/>
                <w:bCs/>
                <w:sz w:val="28"/>
                <w:szCs w:val="28"/>
              </w:rPr>
              <w:t>Nhóm 1</w:t>
            </w:r>
          </w:p>
        </w:tc>
        <w:tc>
          <w:tcPr>
            <w:tcW w:w="2781" w:type="dxa"/>
            <w:vAlign w:val="center"/>
          </w:tcPr>
          <w:p w14:paraId="6A83158C" w14:textId="77777777" w:rsidR="00C91631" w:rsidRPr="00CC3A59" w:rsidRDefault="00C91631" w:rsidP="00F00F8F">
            <w:pPr>
              <w:shd w:val="clear" w:color="auto" w:fill="FFFFFF"/>
              <w:spacing w:beforeLines="30" w:before="72" w:afterLines="30" w:after="72"/>
              <w:ind w:left="1" w:hanging="3"/>
              <w:jc w:val="center"/>
              <w:rPr>
                <w:rFonts w:ascii="Times New Roman" w:hAnsi="Times New Roman" w:cs="Times New Roman"/>
                <w:b/>
                <w:bCs/>
                <w:sz w:val="28"/>
                <w:szCs w:val="28"/>
              </w:rPr>
            </w:pPr>
            <w:r w:rsidRPr="00CC3A59">
              <w:rPr>
                <w:rFonts w:ascii="Times New Roman" w:hAnsi="Times New Roman" w:cs="Times New Roman"/>
                <w:b/>
                <w:bCs/>
                <w:sz w:val="28"/>
                <w:szCs w:val="28"/>
              </w:rPr>
              <w:t>Nhóm 2</w:t>
            </w:r>
          </w:p>
        </w:tc>
      </w:tr>
      <w:tr w:rsidR="00C91631" w:rsidRPr="00003E17" w14:paraId="39B0887C" w14:textId="77777777" w:rsidTr="00F00F8F">
        <w:trPr>
          <w:trHeight w:val="106"/>
        </w:trPr>
        <w:tc>
          <w:tcPr>
            <w:tcW w:w="3402" w:type="dxa"/>
            <w:tcBorders>
              <w:top w:val="single" w:sz="4" w:space="0" w:color="auto"/>
            </w:tcBorders>
            <w:vAlign w:val="center"/>
          </w:tcPr>
          <w:p w14:paraId="11CB7DDF" w14:textId="77777777" w:rsidR="00C91631" w:rsidRPr="00003E17" w:rsidRDefault="00C91631"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Nhà trẻ</w:t>
            </w:r>
          </w:p>
        </w:tc>
        <w:tc>
          <w:tcPr>
            <w:tcW w:w="3177" w:type="dxa"/>
            <w:vAlign w:val="center"/>
          </w:tcPr>
          <w:p w14:paraId="46A883BE" w14:textId="77777777" w:rsidR="00C91631" w:rsidRPr="00003E17"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2</w:t>
            </w:r>
            <w:r w:rsidRPr="00003E17">
              <w:rPr>
                <w:rFonts w:ascii="Times New Roman" w:hAnsi="Times New Roman" w:cs="Times New Roman"/>
                <w:sz w:val="28"/>
                <w:szCs w:val="28"/>
              </w:rPr>
              <w:t>00.000</w:t>
            </w:r>
          </w:p>
        </w:tc>
        <w:tc>
          <w:tcPr>
            <w:tcW w:w="2781" w:type="dxa"/>
            <w:vAlign w:val="center"/>
          </w:tcPr>
          <w:p w14:paraId="49D2DE8C" w14:textId="77777777" w:rsidR="00C91631" w:rsidRPr="00486913"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sidRPr="00486913">
              <w:rPr>
                <w:rFonts w:ascii="Times New Roman" w:hAnsi="Times New Roman" w:cs="Times New Roman"/>
                <w:sz w:val="28"/>
                <w:szCs w:val="28"/>
              </w:rPr>
              <w:t>120.000</w:t>
            </w:r>
          </w:p>
        </w:tc>
      </w:tr>
      <w:tr w:rsidR="00C91631" w:rsidRPr="00003E17" w14:paraId="76414BBA" w14:textId="77777777" w:rsidTr="00F00F8F">
        <w:trPr>
          <w:trHeight w:val="210"/>
        </w:trPr>
        <w:tc>
          <w:tcPr>
            <w:tcW w:w="3402" w:type="dxa"/>
            <w:vAlign w:val="center"/>
          </w:tcPr>
          <w:p w14:paraId="4470DEE7" w14:textId="77777777" w:rsidR="00C91631" w:rsidRPr="00730BBB" w:rsidRDefault="00C91631"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Mẫu giáo</w:t>
            </w:r>
          </w:p>
        </w:tc>
        <w:tc>
          <w:tcPr>
            <w:tcW w:w="3177" w:type="dxa"/>
            <w:vAlign w:val="center"/>
          </w:tcPr>
          <w:p w14:paraId="3924264D" w14:textId="77777777" w:rsidR="00C91631" w:rsidRPr="00003E17"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160</w:t>
            </w:r>
            <w:r w:rsidRPr="00003E17">
              <w:rPr>
                <w:rFonts w:ascii="Times New Roman" w:hAnsi="Times New Roman" w:cs="Times New Roman"/>
                <w:sz w:val="28"/>
                <w:szCs w:val="28"/>
              </w:rPr>
              <w:t>.000</w:t>
            </w:r>
          </w:p>
        </w:tc>
        <w:tc>
          <w:tcPr>
            <w:tcW w:w="2781" w:type="dxa"/>
            <w:vAlign w:val="center"/>
          </w:tcPr>
          <w:p w14:paraId="3ADE1E68" w14:textId="77777777" w:rsidR="00C91631" w:rsidRPr="00003E17"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sidRPr="00003E17">
              <w:rPr>
                <w:rFonts w:ascii="Times New Roman" w:hAnsi="Times New Roman" w:cs="Times New Roman"/>
                <w:sz w:val="28"/>
                <w:szCs w:val="28"/>
              </w:rPr>
              <w:t>100.000</w:t>
            </w:r>
          </w:p>
        </w:tc>
      </w:tr>
      <w:tr w:rsidR="00C91631" w:rsidRPr="00003E17" w14:paraId="521BF594" w14:textId="77777777" w:rsidTr="00F00F8F">
        <w:trPr>
          <w:trHeight w:val="210"/>
        </w:trPr>
        <w:tc>
          <w:tcPr>
            <w:tcW w:w="3402" w:type="dxa"/>
            <w:vAlign w:val="center"/>
          </w:tcPr>
          <w:p w14:paraId="42031781" w14:textId="77777777" w:rsidR="00C91631" w:rsidRPr="00C600B8" w:rsidRDefault="00C91631" w:rsidP="00F00F8F">
            <w:pPr>
              <w:shd w:val="clear" w:color="auto" w:fill="FFFFFF"/>
              <w:spacing w:beforeLines="30" w:before="72" w:afterLines="30" w:after="72"/>
              <w:ind w:left="1" w:hanging="3"/>
              <w:rPr>
                <w:rFonts w:ascii="Times New Roman" w:hAnsi="Times New Roman" w:cs="Times New Roman"/>
                <w:sz w:val="28"/>
                <w:szCs w:val="28"/>
              </w:rPr>
            </w:pPr>
            <w:r w:rsidRPr="00C600B8">
              <w:rPr>
                <w:rFonts w:ascii="Times New Roman" w:hAnsi="Times New Roman" w:cs="Times New Roman"/>
                <w:sz w:val="28"/>
                <w:szCs w:val="28"/>
              </w:rPr>
              <w:t>Tiểu học</w:t>
            </w:r>
          </w:p>
        </w:tc>
        <w:tc>
          <w:tcPr>
            <w:tcW w:w="3177" w:type="dxa"/>
            <w:vAlign w:val="center"/>
          </w:tcPr>
          <w:p w14:paraId="0BA9904D" w14:textId="77777777" w:rsidR="00C91631" w:rsidRPr="00F153F9"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sidRPr="00F153F9">
              <w:rPr>
                <w:rFonts w:ascii="Times New Roman" w:hAnsi="Times New Roman" w:cs="Times New Roman"/>
                <w:sz w:val="28"/>
                <w:szCs w:val="28"/>
              </w:rPr>
              <w:t>60.000</w:t>
            </w:r>
          </w:p>
        </w:tc>
        <w:tc>
          <w:tcPr>
            <w:tcW w:w="2781" w:type="dxa"/>
            <w:vAlign w:val="center"/>
          </w:tcPr>
          <w:p w14:paraId="031184B0" w14:textId="77777777" w:rsidR="00C91631" w:rsidRPr="00F153F9"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sidRPr="00F153F9">
              <w:rPr>
                <w:rFonts w:ascii="Times New Roman" w:hAnsi="Times New Roman" w:cs="Times New Roman"/>
                <w:sz w:val="28"/>
                <w:szCs w:val="28"/>
              </w:rPr>
              <w:t>30.000</w:t>
            </w:r>
          </w:p>
        </w:tc>
      </w:tr>
      <w:tr w:rsidR="00C91631" w:rsidRPr="00003E17" w14:paraId="175AC4DA" w14:textId="77777777" w:rsidTr="00F00F8F">
        <w:trPr>
          <w:trHeight w:val="70"/>
        </w:trPr>
        <w:tc>
          <w:tcPr>
            <w:tcW w:w="3402" w:type="dxa"/>
            <w:vAlign w:val="center"/>
          </w:tcPr>
          <w:p w14:paraId="15A91DF7" w14:textId="77777777" w:rsidR="00C91631" w:rsidRPr="00003E17" w:rsidRDefault="00C91631"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Trung học cơ sở</w:t>
            </w:r>
          </w:p>
        </w:tc>
        <w:tc>
          <w:tcPr>
            <w:tcW w:w="3177" w:type="dxa"/>
            <w:vAlign w:val="center"/>
          </w:tcPr>
          <w:p w14:paraId="13EF4621" w14:textId="77777777" w:rsidR="00C91631" w:rsidRPr="00003E17"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60</w:t>
            </w:r>
            <w:r w:rsidRPr="00003E17">
              <w:rPr>
                <w:rFonts w:ascii="Times New Roman" w:hAnsi="Times New Roman" w:cs="Times New Roman"/>
                <w:sz w:val="28"/>
                <w:szCs w:val="28"/>
              </w:rPr>
              <w:t>.000</w:t>
            </w:r>
          </w:p>
        </w:tc>
        <w:tc>
          <w:tcPr>
            <w:tcW w:w="2781" w:type="dxa"/>
            <w:vAlign w:val="center"/>
          </w:tcPr>
          <w:p w14:paraId="5D6218B5" w14:textId="77777777" w:rsidR="00C91631" w:rsidRPr="00003E17"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30</w:t>
            </w:r>
            <w:r w:rsidRPr="00003E17">
              <w:rPr>
                <w:rFonts w:ascii="Times New Roman" w:hAnsi="Times New Roman" w:cs="Times New Roman"/>
                <w:sz w:val="28"/>
                <w:szCs w:val="28"/>
              </w:rPr>
              <w:t>.000</w:t>
            </w:r>
          </w:p>
        </w:tc>
      </w:tr>
      <w:tr w:rsidR="00C91631" w:rsidRPr="00003E17" w14:paraId="154BA9A0" w14:textId="77777777" w:rsidTr="00F00F8F">
        <w:trPr>
          <w:trHeight w:val="70"/>
        </w:trPr>
        <w:tc>
          <w:tcPr>
            <w:tcW w:w="3402" w:type="dxa"/>
            <w:vAlign w:val="center"/>
          </w:tcPr>
          <w:p w14:paraId="103EA4A8" w14:textId="77777777" w:rsidR="00C91631" w:rsidRPr="00003E17" w:rsidRDefault="00C91631" w:rsidP="00F00F8F">
            <w:pPr>
              <w:shd w:val="clear" w:color="auto" w:fill="FFFFFF"/>
              <w:spacing w:beforeLines="30" w:before="72" w:afterLines="30" w:after="72"/>
              <w:ind w:left="1" w:hanging="3"/>
              <w:rPr>
                <w:rFonts w:ascii="Times New Roman" w:hAnsi="Times New Roman" w:cs="Times New Roman"/>
                <w:sz w:val="28"/>
                <w:szCs w:val="28"/>
              </w:rPr>
            </w:pPr>
            <w:r w:rsidRPr="00003E17">
              <w:rPr>
                <w:rFonts w:ascii="Times New Roman" w:hAnsi="Times New Roman" w:cs="Times New Roman"/>
                <w:sz w:val="28"/>
                <w:szCs w:val="28"/>
              </w:rPr>
              <w:t>Trung học phổ thông</w:t>
            </w:r>
          </w:p>
        </w:tc>
        <w:tc>
          <w:tcPr>
            <w:tcW w:w="3177" w:type="dxa"/>
            <w:vAlign w:val="center"/>
          </w:tcPr>
          <w:p w14:paraId="4E3F831E" w14:textId="77777777" w:rsidR="00C91631" w:rsidRPr="00003E17"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120</w:t>
            </w:r>
            <w:r w:rsidRPr="00003E17">
              <w:rPr>
                <w:rFonts w:ascii="Times New Roman" w:hAnsi="Times New Roman" w:cs="Times New Roman"/>
                <w:sz w:val="28"/>
                <w:szCs w:val="28"/>
              </w:rPr>
              <w:t>.000</w:t>
            </w:r>
          </w:p>
        </w:tc>
        <w:tc>
          <w:tcPr>
            <w:tcW w:w="2781" w:type="dxa"/>
            <w:vAlign w:val="center"/>
          </w:tcPr>
          <w:p w14:paraId="7595F7AD" w14:textId="77777777" w:rsidR="00C91631" w:rsidRPr="00003E17" w:rsidRDefault="00C91631" w:rsidP="00F00F8F">
            <w:pPr>
              <w:shd w:val="clear" w:color="auto" w:fill="FFFFFF"/>
              <w:spacing w:beforeLines="30" w:before="72" w:afterLines="30" w:after="72"/>
              <w:ind w:left="1" w:hanging="3"/>
              <w:jc w:val="center"/>
              <w:rPr>
                <w:rFonts w:ascii="Times New Roman" w:hAnsi="Times New Roman" w:cs="Times New Roman"/>
                <w:sz w:val="28"/>
                <w:szCs w:val="28"/>
              </w:rPr>
            </w:pPr>
            <w:r>
              <w:rPr>
                <w:rFonts w:ascii="Times New Roman" w:hAnsi="Times New Roman" w:cs="Times New Roman"/>
                <w:sz w:val="28"/>
                <w:szCs w:val="28"/>
              </w:rPr>
              <w:t>1</w:t>
            </w:r>
            <w:r w:rsidRPr="00003E17">
              <w:rPr>
                <w:rFonts w:ascii="Times New Roman" w:hAnsi="Times New Roman" w:cs="Times New Roman"/>
                <w:sz w:val="28"/>
                <w:szCs w:val="28"/>
              </w:rPr>
              <w:t>00.000</w:t>
            </w:r>
          </w:p>
        </w:tc>
      </w:tr>
    </w:tbl>
    <w:p w14:paraId="7C35C4C1" w14:textId="02AA52F7" w:rsidR="00C91631" w:rsidRDefault="002C6FE9" w:rsidP="00C91631">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 xml:space="preserve">2.2.3. </w:t>
      </w:r>
      <w:r w:rsidR="00C91631" w:rsidRPr="00C91631">
        <w:rPr>
          <w:rFonts w:ascii="Times New Roman" w:eastAsia="Times New Roman" w:hAnsi="Times New Roman" w:cs="Times New Roman"/>
          <w:sz w:val="28"/>
          <w:szCs w:val="28"/>
        </w:rPr>
        <w:t xml:space="preserve">Mức học phí đối với Cấp tiểu học quy định tại </w:t>
      </w:r>
      <w:r w:rsidR="00C91631">
        <w:rPr>
          <w:rFonts w:ascii="Times New Roman" w:eastAsia="Times New Roman" w:hAnsi="Times New Roman" w:cs="Times New Roman"/>
          <w:sz w:val="28"/>
          <w:szCs w:val="28"/>
        </w:rPr>
        <w:t>Mục 2.2.2</w:t>
      </w:r>
      <w:r w:rsidR="00C91631" w:rsidRPr="00C91631">
        <w:rPr>
          <w:rFonts w:ascii="Times New Roman" w:eastAsia="Times New Roman" w:hAnsi="Times New Roman" w:cs="Times New Roman"/>
          <w:sz w:val="28"/>
          <w:szCs w:val="28"/>
        </w:rPr>
        <w:t xml:space="preserve"> </w:t>
      </w:r>
      <w:r w:rsidR="00C91631">
        <w:rPr>
          <w:rFonts w:ascii="Times New Roman" w:eastAsia="Times New Roman" w:hAnsi="Times New Roman" w:cs="Times New Roman"/>
          <w:sz w:val="28"/>
          <w:szCs w:val="28"/>
        </w:rPr>
        <w:t>Tờ trình này</w:t>
      </w:r>
      <w:r w:rsidR="00C91631" w:rsidRPr="00C91631">
        <w:rPr>
          <w:rFonts w:ascii="Times New Roman" w:eastAsia="Times New Roman" w:hAnsi="Times New Roman" w:cs="Times New Roman"/>
          <w:sz w:val="28"/>
          <w:szCs w:val="28"/>
        </w:rPr>
        <w:t xml:space="preserve"> không phải là mức thu thực tế cho phép thu, chỉ làm căn cứ thực hiện chính sách: hỗ trợ tiền đóng học phí cho học sinh tiểu học tư thục ở địa bàn chưa đủ trường tiểu học công lập và các đối tượng học sinh tiểu học tư thục thuộc đối tượng được hưởng chính sách miễn, giảm học phí theo quy định.</w:t>
      </w:r>
    </w:p>
    <w:p w14:paraId="602E8064" w14:textId="0F52EC84" w:rsidR="002C6FE9" w:rsidRPr="002C6FE9" w:rsidRDefault="002C6FE9" w:rsidP="00C91631">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 xml:space="preserve">2.2.4. </w:t>
      </w:r>
      <w:r w:rsidR="00C91631" w:rsidRPr="00C91631">
        <w:rPr>
          <w:rFonts w:ascii="Times New Roman" w:eastAsia="Times New Roman" w:hAnsi="Times New Roman" w:cs="Times New Roman"/>
          <w:sz w:val="28"/>
          <w:szCs w:val="28"/>
        </w:rPr>
        <w:t>Mức học phí từ năm học 2024-2025 đối với cơ sở giáo dục mầm non, giáo dục phổ thông công lập tự bảo đảm chi thường xuyên: Cơ sở giáo dục xây dựng mức thu học phí trên cơ sở định mức kinh tế - kỹ thuật, định mức chi phí, trình Ủy ban nhân dân để đề nghị Hội đồng nhân dân cấp tỉnh xem xét phê duyệt.</w:t>
      </w:r>
    </w:p>
    <w:p w14:paraId="730055A4" w14:textId="18F0319F" w:rsidR="002C6FE9" w:rsidRPr="002C6FE9" w:rsidRDefault="002C6FE9"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 xml:space="preserve">2.2.5. </w:t>
      </w:r>
      <w:r w:rsidR="00C91631" w:rsidRPr="00C91631">
        <w:rPr>
          <w:rFonts w:ascii="Times New Roman" w:eastAsia="Times New Roman" w:hAnsi="Times New Roman" w:cs="Times New Roman"/>
          <w:sz w:val="28"/>
          <w:szCs w:val="28"/>
        </w:rPr>
        <w:t>Đối với cơ sở giáo dục thường xuyên, cơ sở đào tạo khác thực hiện chương trình giáo dục phổ thông được áp dụng mức học phí tương đương với mức học phí của cơ sở giáo dục phổ thông công lập cùng cấp học trên địa bàn Thành phố Hồ Chí Minh</w:t>
      </w:r>
      <w:r w:rsidRPr="002C6FE9">
        <w:rPr>
          <w:rFonts w:ascii="Times New Roman" w:eastAsia="Times New Roman" w:hAnsi="Times New Roman" w:cs="Times New Roman"/>
          <w:sz w:val="28"/>
          <w:szCs w:val="28"/>
        </w:rPr>
        <w:t>.</w:t>
      </w:r>
    </w:p>
    <w:p w14:paraId="6EE26232" w14:textId="5D69F862" w:rsidR="002C6FE9" w:rsidRDefault="002C6FE9"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2C6FE9">
        <w:rPr>
          <w:rFonts w:ascii="Times New Roman" w:eastAsia="Times New Roman" w:hAnsi="Times New Roman" w:cs="Times New Roman"/>
          <w:sz w:val="28"/>
          <w:szCs w:val="28"/>
        </w:rPr>
        <w:t xml:space="preserve">2.2.6. </w:t>
      </w:r>
      <w:r w:rsidR="00C91631" w:rsidRPr="00C91631">
        <w:rPr>
          <w:rFonts w:ascii="Times New Roman" w:eastAsia="Times New Roman" w:hAnsi="Times New Roman" w:cs="Times New Roman"/>
          <w:sz w:val="28"/>
          <w:szCs w:val="28"/>
        </w:rPr>
        <w:t>Mức thu học phí theo hình thức học trực tuyến (học online) bằng 50% mức thu học phí của các cơ sở giáo dục công lập đã được ban hành. Mức thu học phí được làm tròn đến đơn vị nghìn đồng</w:t>
      </w:r>
      <w:r w:rsidRPr="00BA7E0D">
        <w:rPr>
          <w:rFonts w:ascii="Times New Roman" w:eastAsia="Times New Roman" w:hAnsi="Times New Roman" w:cs="Times New Roman"/>
          <w:sz w:val="28"/>
          <w:szCs w:val="28"/>
        </w:rPr>
        <w:t>.</w:t>
      </w:r>
    </w:p>
    <w:p w14:paraId="41394AE1" w14:textId="6C01D329" w:rsidR="007A2FCF" w:rsidRDefault="007A2FCF" w:rsidP="007A2FCF">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3. </w:t>
      </w:r>
      <w:r w:rsidR="006F0A8C">
        <w:rPr>
          <w:rFonts w:ascii="Times New Roman" w:eastAsia="Times New Roman" w:hAnsi="Times New Roman" w:cs="Times New Roman"/>
          <w:b/>
          <w:sz w:val="28"/>
          <w:szCs w:val="28"/>
        </w:rPr>
        <w:t>Cơ sở đề xuất</w:t>
      </w:r>
    </w:p>
    <w:p w14:paraId="69040BC7" w14:textId="77777777" w:rsidR="006F0A8C" w:rsidRDefault="006F0A8C"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F0A8C">
        <w:rPr>
          <w:rFonts w:ascii="Times New Roman" w:eastAsia="Times New Roman" w:hAnsi="Times New Roman" w:cs="Times New Roman"/>
          <w:sz w:val="28"/>
          <w:szCs w:val="28"/>
        </w:rPr>
        <w:t>Khoản 3 Điều 99 Luật Giáo dục năm 2019 quy định</w:t>
      </w:r>
      <w:r>
        <w:rPr>
          <w:rFonts w:ascii="Times New Roman" w:eastAsia="Times New Roman" w:hAnsi="Times New Roman" w:cs="Times New Roman"/>
          <w:sz w:val="28"/>
          <w:szCs w:val="28"/>
        </w:rPr>
        <w:t xml:space="preserve">: </w:t>
      </w:r>
      <w:r w:rsidRPr="006F0A8C">
        <w:rPr>
          <w:rFonts w:ascii="Times New Roman" w:eastAsia="Times New Roman" w:hAnsi="Times New Roman" w:cs="Times New Roman"/>
          <w:i/>
          <w:iCs/>
          <w:sz w:val="28"/>
          <w:szCs w:val="28"/>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r>
        <w:rPr>
          <w:rFonts w:ascii="Times New Roman" w:eastAsia="Times New Roman" w:hAnsi="Times New Roman" w:cs="Times New Roman"/>
          <w:sz w:val="28"/>
          <w:szCs w:val="28"/>
        </w:rPr>
        <w:t xml:space="preserve">. </w:t>
      </w:r>
    </w:p>
    <w:p w14:paraId="79C40B34" w14:textId="0BE6685E" w:rsidR="006F0A8C" w:rsidRPr="006F0A8C" w:rsidRDefault="006F0A8C"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 xml:space="preserve">Điểm d khoản 4 </w:t>
      </w:r>
      <w:r w:rsidRPr="006F0A8C">
        <w:rPr>
          <w:rFonts w:ascii="Times New Roman" w:eastAsia="Times New Roman" w:hAnsi="Times New Roman" w:cs="Times New Roman"/>
          <w:sz w:val="28"/>
          <w:szCs w:val="28"/>
        </w:rPr>
        <w:t>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Pr>
          <w:rFonts w:ascii="Times New Roman" w:eastAsia="Times New Roman" w:hAnsi="Times New Roman" w:cs="Times New Roman"/>
          <w:sz w:val="28"/>
          <w:szCs w:val="28"/>
        </w:rPr>
        <w:t xml:space="preserve"> quy định: </w:t>
      </w:r>
      <w:r w:rsidRPr="006F0A8C">
        <w:rPr>
          <w:rFonts w:ascii="Times New Roman" w:eastAsia="Times New Roman" w:hAnsi="Times New Roman" w:cs="Times New Roman"/>
          <w:i/>
          <w:iCs/>
          <w:sz w:val="28"/>
          <w:szCs w:val="28"/>
        </w:rPr>
        <w:t>“d) Ủy ban nhân dân cấp tỉnh căn cứ vào điều kiện phát triển kinh tế - xã hội của địa phương, yêu cầu cần đạt của chương trình giáo dục tiểu học, quy mô học sinh tiểu học trên địa bàn và định mức học sinh/lớp cấp tiểu học theo quy định để xây dựng tiêu chí xác định các địa bàn không đủ trường công lập trình Hội đồng nhân dân cấp tỉnh phê duyệt và quyết định mức hỗ trợ tiền đóng học phí cho học sinh tiểu học tại các trường tư thục ở địa bàn không đủ trường công lập theo từng năm học; kinh phí hỗ trợ tiền đóng học phí do ngân sách nhà nước cấp theo quy định của Luật Ngân sách nhà nước và các văn bản hướng dẫn thực hiện.”</w:t>
      </w:r>
    </w:p>
    <w:p w14:paraId="78E9B2D8" w14:textId="0F0BEBA4" w:rsidR="006F0A8C" w:rsidRDefault="006F0A8C"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w:t>
      </w:r>
      <w:r w:rsidRPr="006F0A8C">
        <w:rPr>
          <w:rFonts w:ascii="Times New Roman" w:eastAsia="Times New Roman" w:hAnsi="Times New Roman" w:cs="Times New Roman"/>
          <w:sz w:val="28"/>
          <w:szCs w:val="28"/>
        </w:rPr>
        <w:t>12 tháng 7 năm 2023</w:t>
      </w:r>
      <w:r>
        <w:rPr>
          <w:rFonts w:ascii="Times New Roman" w:eastAsia="Times New Roman" w:hAnsi="Times New Roman" w:cs="Times New Roman"/>
          <w:sz w:val="28"/>
          <w:szCs w:val="28"/>
        </w:rPr>
        <w:t xml:space="preserve"> Hội đồng nhân dân Thành phố Hồ Chí Minh đã ban hành Nghị quyết số </w:t>
      </w:r>
      <w:r w:rsidRPr="006F0A8C">
        <w:rPr>
          <w:rFonts w:ascii="Times New Roman" w:eastAsia="Times New Roman" w:hAnsi="Times New Roman" w:cs="Times New Roman"/>
          <w:sz w:val="28"/>
          <w:szCs w:val="28"/>
        </w:rPr>
        <w:t>05/2023/NQ-HĐND</w:t>
      </w:r>
      <w:r>
        <w:rPr>
          <w:rFonts w:ascii="Times New Roman" w:eastAsia="Times New Roman" w:hAnsi="Times New Roman" w:cs="Times New Roman"/>
          <w:sz w:val="28"/>
          <w:szCs w:val="28"/>
        </w:rPr>
        <w:t xml:space="preserve"> </w:t>
      </w:r>
      <w:r w:rsidRPr="006F0A8C">
        <w:rPr>
          <w:rFonts w:ascii="Times New Roman" w:eastAsia="Times New Roman" w:hAnsi="Times New Roman" w:cs="Times New Roman"/>
          <w:sz w:val="28"/>
          <w:szCs w:val="28"/>
        </w:rPr>
        <w:t>quy định tiêu chí xác định địa bàn không đủ trường tiểu học công lập tại thành phố hồ chí minh để hỗ trợ học phí</w:t>
      </w:r>
      <w:r>
        <w:rPr>
          <w:rFonts w:ascii="Times New Roman" w:eastAsia="Times New Roman" w:hAnsi="Times New Roman" w:cs="Times New Roman"/>
          <w:sz w:val="28"/>
          <w:szCs w:val="28"/>
        </w:rPr>
        <w:t xml:space="preserve">. </w:t>
      </w:r>
    </w:p>
    <w:p w14:paraId="240DB8E2" w14:textId="31D049EE" w:rsidR="006F0A8C" w:rsidRDefault="006F0A8C"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 đó, mức thu học phí </w:t>
      </w:r>
      <w:r w:rsidRPr="00C91631">
        <w:rPr>
          <w:rFonts w:ascii="Times New Roman" w:eastAsia="Times New Roman" w:hAnsi="Times New Roman" w:cs="Times New Roman"/>
          <w:sz w:val="28"/>
          <w:szCs w:val="28"/>
        </w:rPr>
        <w:t xml:space="preserve">đối với Cấp tiểu học quy định tại </w:t>
      </w:r>
      <w:r>
        <w:rPr>
          <w:rFonts w:ascii="Times New Roman" w:eastAsia="Times New Roman" w:hAnsi="Times New Roman" w:cs="Times New Roman"/>
          <w:sz w:val="28"/>
          <w:szCs w:val="28"/>
        </w:rPr>
        <w:t>Mục 2.2.2</w:t>
      </w:r>
      <w:r w:rsidRPr="00C916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Tờ trình này </w:t>
      </w:r>
      <w:r w:rsidRPr="00C91631">
        <w:rPr>
          <w:rFonts w:ascii="Times New Roman" w:eastAsia="Times New Roman" w:hAnsi="Times New Roman" w:cs="Times New Roman"/>
          <w:sz w:val="28"/>
          <w:szCs w:val="28"/>
        </w:rPr>
        <w:t>không phải là mức thu thực tế cho phép thu, chỉ làm căn cứ thực hiện chính sách hỗ trợ tiền đóng học phí cho học sinh tiểu học tư thục ở địa bàn chưa đủ trường tiểu học công lập và các đối tượng học sinh tiểu học tư thục thuộc đối tượng được hưởng chính sách miễn, giảm học phí theo quy định</w:t>
      </w:r>
      <w:r>
        <w:rPr>
          <w:rFonts w:ascii="Times New Roman" w:eastAsia="Times New Roman" w:hAnsi="Times New Roman" w:cs="Times New Roman"/>
          <w:sz w:val="28"/>
          <w:szCs w:val="28"/>
        </w:rPr>
        <w:t xml:space="preserve"> tại Nghị định </w:t>
      </w:r>
      <w:r w:rsidRPr="006F0A8C">
        <w:rPr>
          <w:rFonts w:ascii="Times New Roman" w:eastAsia="Times New Roman" w:hAnsi="Times New Roman" w:cs="Times New Roman"/>
          <w:sz w:val="28"/>
          <w:szCs w:val="28"/>
        </w:rPr>
        <w:t>số 81/2021/NĐ-CP</w:t>
      </w:r>
      <w:r>
        <w:rPr>
          <w:rFonts w:ascii="Times New Roman" w:eastAsia="Times New Roman" w:hAnsi="Times New Roman" w:cs="Times New Roman"/>
          <w:sz w:val="28"/>
          <w:szCs w:val="28"/>
        </w:rPr>
        <w:t xml:space="preserve">. Ủy ban nhân dân Thành phố đề xuất mức thu học phí cấp tiểu học bằng </w:t>
      </w:r>
      <w:r w:rsidR="00061216">
        <w:rPr>
          <w:rFonts w:ascii="Times New Roman" w:eastAsia="Times New Roman" w:hAnsi="Times New Roman" w:cs="Times New Roman"/>
          <w:sz w:val="28"/>
          <w:szCs w:val="28"/>
        </w:rPr>
        <w:t>mức thu học phí cấp trung học cơ sở</w:t>
      </w:r>
      <w:r w:rsidR="0076166D">
        <w:rPr>
          <w:rFonts w:ascii="Times New Roman" w:eastAsia="Times New Roman" w:hAnsi="Times New Roman" w:cs="Times New Roman"/>
          <w:sz w:val="28"/>
          <w:szCs w:val="28"/>
        </w:rPr>
        <w:t xml:space="preserve"> năm học 2021-2022 là</w:t>
      </w:r>
      <w:r w:rsidR="00061216">
        <w:rPr>
          <w:rFonts w:ascii="Times New Roman" w:eastAsia="Times New Roman" w:hAnsi="Times New Roman" w:cs="Times New Roman"/>
          <w:sz w:val="28"/>
          <w:szCs w:val="28"/>
        </w:rPr>
        <w:t xml:space="preserve"> 60.000 đồng/học sinh/tháng đối với Nhóm 1 và 30.000 đồng/học sinh/tháng đối với Nhóm 2.</w:t>
      </w:r>
    </w:p>
    <w:p w14:paraId="2A23E6D1" w14:textId="2031763C" w:rsidR="00005FD7" w:rsidRDefault="00005FD7"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năm học 2024-2025 miễn học phí đối với trẻ em mầm non 05 tuổi </w:t>
      </w:r>
      <w:r w:rsidRPr="00005FD7">
        <w:rPr>
          <w:rFonts w:ascii="Times New Roman" w:eastAsia="Times New Roman" w:hAnsi="Times New Roman" w:cs="Times New Roman"/>
          <w:sz w:val="28"/>
          <w:szCs w:val="28"/>
        </w:rPr>
        <w:t>theo khoản 6 Điều 15 Nghị định số 81/2021/NĐ-CP của Chính phủ</w:t>
      </w:r>
      <w:r w:rsidRPr="00005FD7">
        <w:rPr>
          <w:rFonts w:ascii="Times New Roman" w:eastAsia="Times New Roman" w:hAnsi="Times New Roman" w:cs="Times New Roman"/>
          <w:i/>
          <w:iCs/>
          <w:sz w:val="28"/>
          <w:szCs w:val="28"/>
        </w:rPr>
        <w:t>: “6. Trẻ em mầm non 05 tuổi không thuộc đối tượng quy định tại khoản 5 Điều này được miễn học phí từ năm học 2024 - 2025 (được hưởng từ ngày 01 tháng 9 năm 2024)”.</w:t>
      </w:r>
    </w:p>
    <w:p w14:paraId="05D9702A" w14:textId="140FF677" w:rsidR="00005FD7" w:rsidRDefault="00C70C05"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5FD7">
        <w:rPr>
          <w:rFonts w:ascii="Times New Roman" w:eastAsia="Times New Roman" w:hAnsi="Times New Roman" w:cs="Times New Roman"/>
          <w:sz w:val="28"/>
          <w:szCs w:val="28"/>
        </w:rPr>
        <w:t xml:space="preserve">Từ năm học 2025-2026 miễn học phí đối với học sinh trung học cơ sở </w:t>
      </w:r>
      <w:r w:rsidR="00005FD7" w:rsidRPr="00005FD7">
        <w:rPr>
          <w:rFonts w:ascii="Times New Roman" w:eastAsia="Times New Roman" w:hAnsi="Times New Roman" w:cs="Times New Roman"/>
          <w:sz w:val="28"/>
          <w:szCs w:val="28"/>
        </w:rPr>
        <w:t xml:space="preserve">theo khoản 9 Điều 15 Nghị định số 81/2021/NĐ-CP của Chính phủ: </w:t>
      </w:r>
      <w:r w:rsidR="00005FD7" w:rsidRPr="00005FD7">
        <w:rPr>
          <w:rFonts w:ascii="Times New Roman" w:eastAsia="Times New Roman" w:hAnsi="Times New Roman" w:cs="Times New Roman"/>
          <w:i/>
          <w:iCs/>
          <w:sz w:val="28"/>
          <w:szCs w:val="28"/>
        </w:rPr>
        <w:t>“9. Học sinh trung học cơ sở không thuộc đối tượng quy định tại khoản 8 Điều này được miễn học phí từ năm học 2025 - 2026 (được hưởng từ ngày 01 tháng 9 năm 2025)”.</w:t>
      </w:r>
    </w:p>
    <w:p w14:paraId="75BBDBD8" w14:textId="09690228" w:rsidR="00C70C05" w:rsidRDefault="00C70C05"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Mức thu học phí quy định tại Mục 2.2.2</w:t>
      </w:r>
      <w:r w:rsidRPr="00C9163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Tờ trình này làm căn cứ để Ngân sách </w:t>
      </w:r>
      <w:r w:rsidRPr="00C70C05">
        <w:rPr>
          <w:rFonts w:ascii="Times New Roman" w:eastAsia="Times New Roman" w:hAnsi="Times New Roman" w:cs="Times New Roman"/>
          <w:sz w:val="28"/>
          <w:szCs w:val="28"/>
        </w:rPr>
        <w:t xml:space="preserve">cấp bù tiền miễn học phí cho các cơ sở giáo dục mầm non, giáo dục phổ thông và cơ sở giáo dục thường xuyên công lập để thực hiện việc miễn, giảm học phí đối với người học thuộc các đối tượng miễn, giảm học phí </w:t>
      </w:r>
      <w:r w:rsidR="00D902CD">
        <w:rPr>
          <w:rFonts w:ascii="Times New Roman" w:eastAsia="Times New Roman" w:hAnsi="Times New Roman" w:cs="Times New Roman"/>
          <w:sz w:val="28"/>
          <w:szCs w:val="28"/>
        </w:rPr>
        <w:t xml:space="preserve">theo lộ trình </w:t>
      </w:r>
      <w:r w:rsidRPr="00C70C05">
        <w:rPr>
          <w:rFonts w:ascii="Times New Roman" w:eastAsia="Times New Roman" w:hAnsi="Times New Roman" w:cs="Times New Roman"/>
          <w:sz w:val="28"/>
          <w:szCs w:val="28"/>
        </w:rPr>
        <w:t>quy định</w:t>
      </w:r>
      <w:r>
        <w:rPr>
          <w:rFonts w:ascii="Times New Roman" w:eastAsia="Times New Roman" w:hAnsi="Times New Roman" w:cs="Times New Roman"/>
          <w:sz w:val="28"/>
          <w:szCs w:val="28"/>
        </w:rPr>
        <w:t>.</w:t>
      </w:r>
      <w:r w:rsidRPr="00C70C05">
        <w:rPr>
          <w:rFonts w:ascii="Times New Roman" w:eastAsia="Times New Roman" w:hAnsi="Times New Roman" w:cs="Times New Roman"/>
          <w:sz w:val="28"/>
          <w:szCs w:val="28"/>
        </w:rPr>
        <w:t xml:space="preserve"> </w:t>
      </w:r>
    </w:p>
    <w:p w14:paraId="3B71F010" w14:textId="060D9828" w:rsidR="00EB5CF2" w:rsidRPr="00EB5CF2" w:rsidRDefault="00EB5CF2" w:rsidP="002C6FE9">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sidRPr="00EB5CF2">
        <w:rPr>
          <w:rFonts w:ascii="Times New Roman" w:eastAsia="Times New Roman" w:hAnsi="Times New Roman" w:cs="Times New Roman"/>
          <w:sz w:val="28"/>
          <w:szCs w:val="28"/>
        </w:rPr>
        <w:lastRenderedPageBreak/>
        <w:t xml:space="preserve">Trên đây là Tờ trình về dự thảo Nghị quyết quy định mức học phí đối với giáo dục mầm non, giáo dục phổ thông công lập từ năm học 2024-2025 và các năm học tiếp theo trên địa bàn Thành phố Hồ Chí Minh, Ủy ban nhân dân Thành phố </w:t>
      </w:r>
      <w:r>
        <w:rPr>
          <w:rFonts w:ascii="Times New Roman" w:eastAsia="Times New Roman" w:hAnsi="Times New Roman" w:cs="Times New Roman"/>
          <w:sz w:val="28"/>
          <w:szCs w:val="28"/>
        </w:rPr>
        <w:t xml:space="preserve">xin </w:t>
      </w:r>
      <w:r w:rsidRPr="00EB5CF2">
        <w:rPr>
          <w:rFonts w:ascii="Times New Roman" w:eastAsia="Times New Roman" w:hAnsi="Times New Roman" w:cs="Times New Roman"/>
          <w:sz w:val="28"/>
          <w:szCs w:val="28"/>
        </w:rPr>
        <w:t>kính trình Hội đồng nhân dân Thành phố xem xét, quyết định.</w:t>
      </w:r>
      <w:r w:rsidR="00C64EB9">
        <w:rPr>
          <w:rFonts w:ascii="Times New Roman" w:eastAsia="Times New Roman" w:hAnsi="Times New Roman" w:cs="Times New Roman"/>
          <w:sz w:val="28"/>
          <w:szCs w:val="28"/>
        </w:rPr>
        <w:t>/.</w:t>
      </w:r>
    </w:p>
    <w:p w14:paraId="22A91595" w14:textId="77777777" w:rsidR="00954EE2" w:rsidRDefault="00EE6DC4" w:rsidP="00954EE2">
      <w:pPr>
        <w:pBdr>
          <w:top w:val="nil"/>
          <w:left w:val="nil"/>
          <w:bottom w:val="nil"/>
          <w:right w:val="nil"/>
          <w:between w:val="nil"/>
        </w:pBdr>
        <w:tabs>
          <w:tab w:val="left" w:pos="567"/>
        </w:tabs>
        <w:spacing w:before="120" w:after="120" w:line="240" w:lineRule="auto"/>
        <w:ind w:leftChars="0" w:firstLineChars="251" w:firstLine="703"/>
        <w:rPr>
          <w:rFonts w:ascii="Times New Roman" w:eastAsia="Times New Roman" w:hAnsi="Times New Roman" w:cs="Times New Roman"/>
          <w:i/>
          <w:color w:val="000000"/>
          <w:sz w:val="28"/>
          <w:szCs w:val="28"/>
        </w:rPr>
      </w:pPr>
      <w:r w:rsidRPr="00EE6DC4">
        <w:rPr>
          <w:rFonts w:ascii="Times New Roman" w:eastAsia="Times New Roman" w:hAnsi="Times New Roman" w:cs="Times New Roman"/>
          <w:i/>
          <w:color w:val="000000"/>
          <w:sz w:val="28"/>
          <w:szCs w:val="28"/>
        </w:rPr>
        <w:t>Xin gửi kèm the</w:t>
      </w:r>
      <w:r>
        <w:rPr>
          <w:rFonts w:ascii="Times New Roman" w:eastAsia="Times New Roman" w:hAnsi="Times New Roman" w:cs="Times New Roman"/>
          <w:i/>
          <w:color w:val="000000"/>
          <w:sz w:val="28"/>
          <w:szCs w:val="28"/>
        </w:rPr>
        <w:t xml:space="preserve">o: </w:t>
      </w:r>
    </w:p>
    <w:p w14:paraId="1A65CB49" w14:textId="435390A0" w:rsidR="004A6774" w:rsidRDefault="00954EE2" w:rsidP="00954EE2">
      <w:pPr>
        <w:pBdr>
          <w:top w:val="nil"/>
          <w:left w:val="nil"/>
          <w:bottom w:val="nil"/>
          <w:right w:val="nil"/>
          <w:between w:val="nil"/>
        </w:pBdr>
        <w:tabs>
          <w:tab w:val="left" w:pos="567"/>
        </w:tabs>
        <w:spacing w:before="120" w:after="120" w:line="240" w:lineRule="auto"/>
        <w:ind w:leftChars="0" w:firstLineChars="251" w:firstLine="703"/>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 D</w:t>
      </w:r>
      <w:r w:rsidR="004A6774" w:rsidRPr="004A6774">
        <w:rPr>
          <w:rFonts w:ascii="Times New Roman" w:eastAsia="Times New Roman" w:hAnsi="Times New Roman" w:cs="Times New Roman"/>
          <w:i/>
          <w:color w:val="000000"/>
          <w:sz w:val="28"/>
          <w:szCs w:val="28"/>
        </w:rPr>
        <w:t>ự thảo Nghị quyết của Hội đồng nhân dân Thành phố</w:t>
      </w:r>
    </w:p>
    <w:p w14:paraId="0F32E095" w14:textId="3457D1C1" w:rsidR="009C3AC3" w:rsidRPr="00C64EB9" w:rsidRDefault="00954EE2" w:rsidP="00C64EB9">
      <w:pPr>
        <w:pBdr>
          <w:top w:val="nil"/>
          <w:left w:val="nil"/>
          <w:bottom w:val="nil"/>
          <w:right w:val="nil"/>
          <w:between w:val="nil"/>
        </w:pBdr>
        <w:tabs>
          <w:tab w:val="left" w:pos="567"/>
        </w:tabs>
        <w:spacing w:before="120" w:after="120" w:line="240" w:lineRule="auto"/>
        <w:ind w:leftChars="0" w:firstLineChars="251" w:firstLine="703"/>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(2) </w:t>
      </w:r>
      <w:r w:rsidR="000C57D8">
        <w:rPr>
          <w:rFonts w:ascii="Times New Roman" w:eastAsia="Times New Roman" w:hAnsi="Times New Roman" w:cs="Times New Roman"/>
          <w:i/>
          <w:color w:val="000000"/>
          <w:sz w:val="28"/>
          <w:szCs w:val="28"/>
        </w:rPr>
        <w:t>B</w:t>
      </w:r>
      <w:r w:rsidR="000C57D8" w:rsidRPr="000C57D8">
        <w:rPr>
          <w:rFonts w:ascii="Times New Roman" w:eastAsia="Times New Roman" w:hAnsi="Times New Roman" w:cs="Times New Roman"/>
          <w:i/>
          <w:color w:val="000000"/>
          <w:sz w:val="28"/>
          <w:szCs w:val="28"/>
        </w:rPr>
        <w:t>áo cáo đánh giá tác động của chính sách</w:t>
      </w:r>
    </w:p>
    <w:p w14:paraId="2DDE6B34" w14:textId="77777777" w:rsidR="009C3AC3" w:rsidRDefault="009C3AC3">
      <w:pPr>
        <w:pBdr>
          <w:top w:val="nil"/>
          <w:left w:val="nil"/>
          <w:bottom w:val="nil"/>
          <w:right w:val="nil"/>
          <w:between w:val="nil"/>
        </w:pBdr>
        <w:tabs>
          <w:tab w:val="left" w:pos="567"/>
        </w:tabs>
        <w:spacing w:before="120" w:after="120" w:line="240" w:lineRule="auto"/>
        <w:ind w:left="1" w:hanging="3"/>
        <w:jc w:val="both"/>
        <w:rPr>
          <w:rFonts w:ascii="Noto Sans Symbols" w:eastAsia="Noto Sans Symbols" w:hAnsi="Noto Sans Symbols" w:cs="Noto Sans Symbols"/>
          <w:color w:val="000000"/>
          <w:sz w:val="28"/>
          <w:szCs w:val="28"/>
        </w:rPr>
      </w:pPr>
    </w:p>
    <w:tbl>
      <w:tblPr>
        <w:tblStyle w:val="a7"/>
        <w:tblW w:w="8856" w:type="dxa"/>
        <w:tblLayout w:type="fixed"/>
        <w:tblLook w:val="0000" w:firstRow="0" w:lastRow="0" w:firstColumn="0" w:lastColumn="0" w:noHBand="0" w:noVBand="0"/>
      </w:tblPr>
      <w:tblGrid>
        <w:gridCol w:w="4428"/>
        <w:gridCol w:w="4428"/>
      </w:tblGrid>
      <w:tr w:rsidR="009C3AC3" w14:paraId="43527F19" w14:textId="77777777">
        <w:tc>
          <w:tcPr>
            <w:tcW w:w="4428" w:type="dxa"/>
          </w:tcPr>
          <w:p w14:paraId="48C370C6" w14:textId="77777777" w:rsidR="009C3AC3" w:rsidRDefault="00121A37">
            <w:pPr>
              <w:ind w:left="0" w:hanging="2"/>
              <w:jc w:val="both"/>
              <w:rPr>
                <w:rFonts w:ascii="Times New Roman" w:eastAsia="Times New Roman" w:hAnsi="Times New Roman" w:cs="Times New Roman"/>
              </w:rPr>
            </w:pPr>
            <w:r>
              <w:rPr>
                <w:rFonts w:ascii="Times New Roman" w:eastAsia="Times New Roman" w:hAnsi="Times New Roman" w:cs="Times New Roman"/>
                <w:b/>
                <w:i/>
              </w:rPr>
              <w:t>Nơi nhận:</w:t>
            </w:r>
          </w:p>
          <w:p w14:paraId="0CCA2F5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Như trên </w:t>
            </w:r>
            <w:r>
              <w:rPr>
                <w:rFonts w:ascii="Times New Roman" w:eastAsia="Times New Roman" w:hAnsi="Times New Roman" w:cs="Times New Roman"/>
                <w:i/>
                <w:sz w:val="22"/>
                <w:szCs w:val="22"/>
              </w:rPr>
              <w:t>(Kèm hồ sơ)</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p>
          <w:p w14:paraId="4386635C"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Văn phòng ĐĐBQH&amp; HĐND TP;</w:t>
            </w:r>
          </w:p>
          <w:p w14:paraId="159EA2F5"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Ban Văn hóa - Xã hội HĐND.TP;</w:t>
            </w:r>
          </w:p>
          <w:p w14:paraId="01DE3F0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TTUB: CT, các PCT;</w:t>
            </w:r>
          </w:p>
          <w:p w14:paraId="46241DCC"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VPUB: CVP, PVP/VX;</w:t>
            </w:r>
          </w:p>
          <w:p w14:paraId="7297EE6E"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Phòng VX, TH;</w:t>
            </w:r>
          </w:p>
          <w:p w14:paraId="49A2E23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Lưu: VT, (VX/VN).</w:t>
            </w:r>
          </w:p>
          <w:p w14:paraId="08CCC2A1" w14:textId="77777777" w:rsidR="009C3AC3" w:rsidRDefault="009C3AC3">
            <w:pPr>
              <w:tabs>
                <w:tab w:val="right" w:pos="7920"/>
              </w:tabs>
              <w:spacing w:line="276" w:lineRule="auto"/>
              <w:ind w:left="1" w:hanging="3"/>
              <w:rPr>
                <w:rFonts w:ascii="Times New Roman" w:eastAsia="Times New Roman" w:hAnsi="Times New Roman" w:cs="Times New Roman"/>
                <w:sz w:val="28"/>
                <w:szCs w:val="28"/>
              </w:rPr>
            </w:pPr>
          </w:p>
        </w:tc>
        <w:tc>
          <w:tcPr>
            <w:tcW w:w="4428" w:type="dxa"/>
          </w:tcPr>
          <w:p w14:paraId="325356E2"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TM. ỦY BAN NHÂN DÂN</w:t>
            </w:r>
          </w:p>
          <w:p w14:paraId="4238DF03"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KT. CHỦ TỊCH</w:t>
            </w:r>
          </w:p>
          <w:p w14:paraId="1AD057CD"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PHÓ CHỦ TỊCH</w:t>
            </w:r>
          </w:p>
          <w:p w14:paraId="45C5018E"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31D97343"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5146A7BF"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0A2B89CF" w14:textId="4973E755" w:rsidR="009C3AC3" w:rsidRDefault="00062A77" w:rsidP="0018497B">
            <w:pPr>
              <w:tabs>
                <w:tab w:val="right" w:pos="7920"/>
              </w:tabs>
              <w:spacing w:line="276" w:lineRule="auto"/>
              <w:ind w:left="1" w:hanging="3"/>
              <w:jc w:val="center"/>
              <w:rPr>
                <w:rFonts w:ascii="Times New Roman" w:eastAsia="Times New Roman" w:hAnsi="Times New Roman" w:cs="Times New Roman"/>
                <w:sz w:val="28"/>
                <w:szCs w:val="28"/>
              </w:rPr>
            </w:pPr>
            <w:r w:rsidRPr="00062A77">
              <w:rPr>
                <w:rFonts w:ascii="Times New Roman" w:eastAsia="Times New Roman" w:hAnsi="Times New Roman" w:cs="Times New Roman"/>
                <w:b/>
                <w:sz w:val="28"/>
                <w:szCs w:val="28"/>
              </w:rPr>
              <w:t>Trần Thị Diệu Thúy</w:t>
            </w:r>
          </w:p>
        </w:tc>
      </w:tr>
    </w:tbl>
    <w:p w14:paraId="4304EECB" w14:textId="2F49AF26" w:rsidR="00EB4777" w:rsidRDefault="00EB4777" w:rsidP="0018497B">
      <w:pPr>
        <w:ind w:leftChars="0" w:left="0" w:firstLineChars="0" w:firstLine="0"/>
        <w:rPr>
          <w:rFonts w:ascii="Times New Roman" w:eastAsia="Times New Roman" w:hAnsi="Times New Roman" w:cs="Times New Roman"/>
        </w:rPr>
      </w:pPr>
    </w:p>
    <w:p w14:paraId="5E5113DE" w14:textId="77777777" w:rsidR="00EB4777" w:rsidRDefault="00EB4777">
      <w:pPr>
        <w:ind w:left="0" w:hanging="2"/>
        <w:jc w:val="center"/>
        <w:rPr>
          <w:rFonts w:ascii="Times New Roman" w:eastAsia="Times New Roman" w:hAnsi="Times New Roman" w:cs="Times New Roman"/>
        </w:rPr>
      </w:pPr>
    </w:p>
    <w:sectPr w:rsidR="00EB4777">
      <w:headerReference w:type="default" r:id="rId8"/>
      <w:footerReference w:type="even" r:id="rId9"/>
      <w:footerReference w:type="default" r:id="rId10"/>
      <w:pgSz w:w="11907" w:h="16840"/>
      <w:pgMar w:top="1134" w:right="851" w:bottom="1134" w:left="1701" w:header="561"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92A8D" w14:textId="77777777" w:rsidR="00032507" w:rsidRDefault="00032507">
      <w:pPr>
        <w:spacing w:line="240" w:lineRule="auto"/>
        <w:ind w:left="0" w:hanging="2"/>
      </w:pPr>
      <w:r>
        <w:separator/>
      </w:r>
    </w:p>
  </w:endnote>
  <w:endnote w:type="continuationSeparator" w:id="0">
    <w:p w14:paraId="613185BA" w14:textId="77777777" w:rsidR="00032507" w:rsidRDefault="0003250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attrocento Sans">
    <w:altName w:val="Calibri"/>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404B2" w14:textId="77777777" w:rsidR="009C3AC3" w:rsidRDefault="00121A3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CE505E4" w14:textId="77777777" w:rsidR="009C3AC3" w:rsidRDefault="009C3AC3">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58B1" w14:textId="77777777" w:rsidR="009C3AC3" w:rsidRDefault="009C3AC3">
    <w:pPr>
      <w:pBdr>
        <w:top w:val="nil"/>
        <w:left w:val="nil"/>
        <w:bottom w:val="nil"/>
        <w:right w:val="nil"/>
        <w:between w:val="nil"/>
      </w:pBdr>
      <w:spacing w:line="240" w:lineRule="auto"/>
      <w:ind w:left="0" w:hanging="2"/>
      <w:jc w:val="right"/>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7623C" w14:textId="77777777" w:rsidR="00032507" w:rsidRDefault="00032507">
      <w:pPr>
        <w:spacing w:line="240" w:lineRule="auto"/>
        <w:ind w:left="0" w:hanging="2"/>
      </w:pPr>
      <w:r>
        <w:separator/>
      </w:r>
    </w:p>
  </w:footnote>
  <w:footnote w:type="continuationSeparator" w:id="0">
    <w:p w14:paraId="4B3FF6E1" w14:textId="77777777" w:rsidR="00032507" w:rsidRDefault="00032507">
      <w:pPr>
        <w:spacing w:line="240" w:lineRule="auto"/>
        <w:ind w:left="0" w:hanging="2"/>
      </w:pPr>
      <w:r>
        <w:continuationSeparator/>
      </w:r>
    </w:p>
  </w:footnote>
  <w:footnote w:id="1">
    <w:p w14:paraId="2766B2A7" w14:textId="5D4216A5" w:rsidR="00C8708F" w:rsidRDefault="00C8708F">
      <w:pPr>
        <w:pStyle w:val="FootnoteText"/>
        <w:ind w:left="0" w:hanging="2"/>
      </w:pPr>
      <w:r>
        <w:rPr>
          <w:rStyle w:val="FootnoteReference"/>
        </w:rPr>
        <w:footnoteRef/>
      </w:r>
      <w:r>
        <w:t xml:space="preserve"> </w:t>
      </w:r>
      <w:r w:rsidRPr="00C8708F">
        <w:t>Mức học phí đối với cơ sở giáo dục mầm non, giáo dục phổ thông công lập chưa tự bảo đảm chi thường xuyên</w:t>
      </w:r>
    </w:p>
  </w:footnote>
  <w:footnote w:id="2">
    <w:p w14:paraId="5E2D0351" w14:textId="4B3A540C" w:rsidR="00C8708F" w:rsidRDefault="00C8708F">
      <w:pPr>
        <w:pStyle w:val="FootnoteText"/>
        <w:ind w:left="0" w:hanging="2"/>
      </w:pPr>
      <w:r>
        <w:rPr>
          <w:rStyle w:val="FootnoteReference"/>
        </w:rPr>
        <w:footnoteRef/>
      </w:r>
      <w:r>
        <w:t xml:space="preserve"> </w:t>
      </w:r>
      <w:r w:rsidRPr="00C8708F">
        <w:t>Mức học phí đối với cơ sở giáo dục mầm non, giáo dục phổ thông công lập chưa tự bảo đảm chi thường xuyên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FB97D" w14:textId="77777777" w:rsidR="009C3AC3" w:rsidRDefault="00121A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D7E46">
      <w:rPr>
        <w:rFonts w:ascii="Times New Roman" w:eastAsia="Times New Roman" w:hAnsi="Times New Roman" w:cs="Times New Roman"/>
        <w:noProof/>
        <w:color w:val="000000"/>
      </w:rPr>
      <w:t>12</w:t>
    </w:r>
    <w:r>
      <w:rPr>
        <w:rFonts w:ascii="Times New Roman" w:eastAsia="Times New Roman" w:hAnsi="Times New Roman" w:cs="Times New Roman"/>
        <w:color w:val="000000"/>
      </w:rPr>
      <w:fldChar w:fldCharType="end"/>
    </w:r>
  </w:p>
  <w:p w14:paraId="60BB9966" w14:textId="77777777" w:rsidR="009C3AC3" w:rsidRDefault="009C3AC3">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AC3"/>
    <w:rsid w:val="00001064"/>
    <w:rsid w:val="00003A21"/>
    <w:rsid w:val="00005283"/>
    <w:rsid w:val="00005FD7"/>
    <w:rsid w:val="00007A19"/>
    <w:rsid w:val="00014DDB"/>
    <w:rsid w:val="00015AB8"/>
    <w:rsid w:val="000170BB"/>
    <w:rsid w:val="00023CEC"/>
    <w:rsid w:val="00024C69"/>
    <w:rsid w:val="00026416"/>
    <w:rsid w:val="000305AF"/>
    <w:rsid w:val="00030D38"/>
    <w:rsid w:val="000319F5"/>
    <w:rsid w:val="00032507"/>
    <w:rsid w:val="00033062"/>
    <w:rsid w:val="0003384F"/>
    <w:rsid w:val="00036BB2"/>
    <w:rsid w:val="0004524E"/>
    <w:rsid w:val="00045D0E"/>
    <w:rsid w:val="000511DD"/>
    <w:rsid w:val="00061216"/>
    <w:rsid w:val="00061902"/>
    <w:rsid w:val="00062A77"/>
    <w:rsid w:val="00063EDC"/>
    <w:rsid w:val="00065D2A"/>
    <w:rsid w:val="00067831"/>
    <w:rsid w:val="000716E7"/>
    <w:rsid w:val="00072B51"/>
    <w:rsid w:val="000744E2"/>
    <w:rsid w:val="000746F5"/>
    <w:rsid w:val="00077069"/>
    <w:rsid w:val="000779F5"/>
    <w:rsid w:val="00082818"/>
    <w:rsid w:val="00084AAB"/>
    <w:rsid w:val="00090635"/>
    <w:rsid w:val="00091A5C"/>
    <w:rsid w:val="0009461C"/>
    <w:rsid w:val="00096686"/>
    <w:rsid w:val="000A137B"/>
    <w:rsid w:val="000A3AFD"/>
    <w:rsid w:val="000B04F7"/>
    <w:rsid w:val="000B1E3A"/>
    <w:rsid w:val="000B309C"/>
    <w:rsid w:val="000B4BC5"/>
    <w:rsid w:val="000B4E8B"/>
    <w:rsid w:val="000B5B27"/>
    <w:rsid w:val="000C1A22"/>
    <w:rsid w:val="000C5562"/>
    <w:rsid w:val="000C57D8"/>
    <w:rsid w:val="000D2C29"/>
    <w:rsid w:val="000D6E90"/>
    <w:rsid w:val="000E0924"/>
    <w:rsid w:val="000E1F78"/>
    <w:rsid w:val="000E4D8E"/>
    <w:rsid w:val="000E5D85"/>
    <w:rsid w:val="000E6DAA"/>
    <w:rsid w:val="000F06EE"/>
    <w:rsid w:val="000F28C0"/>
    <w:rsid w:val="000F3859"/>
    <w:rsid w:val="000F5589"/>
    <w:rsid w:val="00103409"/>
    <w:rsid w:val="00103730"/>
    <w:rsid w:val="001044CE"/>
    <w:rsid w:val="0010517D"/>
    <w:rsid w:val="00105CD9"/>
    <w:rsid w:val="001061C0"/>
    <w:rsid w:val="00110EC5"/>
    <w:rsid w:val="001131B1"/>
    <w:rsid w:val="00117C1B"/>
    <w:rsid w:val="00120111"/>
    <w:rsid w:val="00121695"/>
    <w:rsid w:val="00121A37"/>
    <w:rsid w:val="00122329"/>
    <w:rsid w:val="00122473"/>
    <w:rsid w:val="00123C71"/>
    <w:rsid w:val="00125DAA"/>
    <w:rsid w:val="00130CBF"/>
    <w:rsid w:val="00131343"/>
    <w:rsid w:val="00132DFD"/>
    <w:rsid w:val="00133576"/>
    <w:rsid w:val="001339FE"/>
    <w:rsid w:val="00135476"/>
    <w:rsid w:val="00135541"/>
    <w:rsid w:val="00136ADE"/>
    <w:rsid w:val="00137215"/>
    <w:rsid w:val="00144D4F"/>
    <w:rsid w:val="00153131"/>
    <w:rsid w:val="00156CC0"/>
    <w:rsid w:val="00163933"/>
    <w:rsid w:val="001652D6"/>
    <w:rsid w:val="00165C49"/>
    <w:rsid w:val="00170B6C"/>
    <w:rsid w:val="001740A6"/>
    <w:rsid w:val="00175214"/>
    <w:rsid w:val="00176C9D"/>
    <w:rsid w:val="00180402"/>
    <w:rsid w:val="0018338B"/>
    <w:rsid w:val="0018497B"/>
    <w:rsid w:val="0019229D"/>
    <w:rsid w:val="001923D3"/>
    <w:rsid w:val="00194F16"/>
    <w:rsid w:val="00195806"/>
    <w:rsid w:val="001A2B63"/>
    <w:rsid w:val="001A369E"/>
    <w:rsid w:val="001A70C5"/>
    <w:rsid w:val="001B0915"/>
    <w:rsid w:val="001B1158"/>
    <w:rsid w:val="001B1F75"/>
    <w:rsid w:val="001B47F6"/>
    <w:rsid w:val="001B5123"/>
    <w:rsid w:val="001B752D"/>
    <w:rsid w:val="001C202C"/>
    <w:rsid w:val="001C396D"/>
    <w:rsid w:val="001D19BA"/>
    <w:rsid w:val="001D28D4"/>
    <w:rsid w:val="001D7BC6"/>
    <w:rsid w:val="001E011E"/>
    <w:rsid w:val="001E0688"/>
    <w:rsid w:val="001E7DFB"/>
    <w:rsid w:val="001F39FE"/>
    <w:rsid w:val="001F4AC9"/>
    <w:rsid w:val="00202D04"/>
    <w:rsid w:val="00203617"/>
    <w:rsid w:val="0020465E"/>
    <w:rsid w:val="00205731"/>
    <w:rsid w:val="00205F86"/>
    <w:rsid w:val="002130FE"/>
    <w:rsid w:val="0021349A"/>
    <w:rsid w:val="002149EB"/>
    <w:rsid w:val="002164D0"/>
    <w:rsid w:val="0022014D"/>
    <w:rsid w:val="00221CAC"/>
    <w:rsid w:val="0022263E"/>
    <w:rsid w:val="00226FEE"/>
    <w:rsid w:val="00227A23"/>
    <w:rsid w:val="00231F3C"/>
    <w:rsid w:val="00234B29"/>
    <w:rsid w:val="0023527B"/>
    <w:rsid w:val="0023776B"/>
    <w:rsid w:val="00237B86"/>
    <w:rsid w:val="002404CB"/>
    <w:rsid w:val="00240CA5"/>
    <w:rsid w:val="002418E6"/>
    <w:rsid w:val="002430B3"/>
    <w:rsid w:val="002509D1"/>
    <w:rsid w:val="002542DE"/>
    <w:rsid w:val="00256C70"/>
    <w:rsid w:val="00260284"/>
    <w:rsid w:val="00260556"/>
    <w:rsid w:val="002639E7"/>
    <w:rsid w:val="00266580"/>
    <w:rsid w:val="00274015"/>
    <w:rsid w:val="0027452E"/>
    <w:rsid w:val="00274534"/>
    <w:rsid w:val="00274D58"/>
    <w:rsid w:val="002757EC"/>
    <w:rsid w:val="00281E71"/>
    <w:rsid w:val="002841F0"/>
    <w:rsid w:val="002846E9"/>
    <w:rsid w:val="00286FC0"/>
    <w:rsid w:val="00287D98"/>
    <w:rsid w:val="0029111E"/>
    <w:rsid w:val="002919A4"/>
    <w:rsid w:val="00292782"/>
    <w:rsid w:val="0029346F"/>
    <w:rsid w:val="00294065"/>
    <w:rsid w:val="0029769F"/>
    <w:rsid w:val="002A1608"/>
    <w:rsid w:val="002A326B"/>
    <w:rsid w:val="002A4D70"/>
    <w:rsid w:val="002A55DA"/>
    <w:rsid w:val="002A6AC2"/>
    <w:rsid w:val="002B66FF"/>
    <w:rsid w:val="002C2610"/>
    <w:rsid w:val="002C2A83"/>
    <w:rsid w:val="002C6FE9"/>
    <w:rsid w:val="002D23AE"/>
    <w:rsid w:val="002D431B"/>
    <w:rsid w:val="002D46DA"/>
    <w:rsid w:val="002D5E5B"/>
    <w:rsid w:val="002D63D3"/>
    <w:rsid w:val="002E122F"/>
    <w:rsid w:val="002E274D"/>
    <w:rsid w:val="002E2C9F"/>
    <w:rsid w:val="002E2DB4"/>
    <w:rsid w:val="002E33D3"/>
    <w:rsid w:val="002E34A6"/>
    <w:rsid w:val="002E640E"/>
    <w:rsid w:val="002F0F25"/>
    <w:rsid w:val="002F1B5F"/>
    <w:rsid w:val="002F27B2"/>
    <w:rsid w:val="00301196"/>
    <w:rsid w:val="003019F5"/>
    <w:rsid w:val="003028E2"/>
    <w:rsid w:val="00303952"/>
    <w:rsid w:val="003045C4"/>
    <w:rsid w:val="00304AFF"/>
    <w:rsid w:val="00311096"/>
    <w:rsid w:val="00313195"/>
    <w:rsid w:val="00313228"/>
    <w:rsid w:val="0031445C"/>
    <w:rsid w:val="00314573"/>
    <w:rsid w:val="00317D03"/>
    <w:rsid w:val="003215E4"/>
    <w:rsid w:val="00321FEF"/>
    <w:rsid w:val="00323888"/>
    <w:rsid w:val="0033105C"/>
    <w:rsid w:val="00335DA4"/>
    <w:rsid w:val="00340566"/>
    <w:rsid w:val="00340F1A"/>
    <w:rsid w:val="00343D17"/>
    <w:rsid w:val="003469DD"/>
    <w:rsid w:val="00346DEC"/>
    <w:rsid w:val="003476A1"/>
    <w:rsid w:val="00353397"/>
    <w:rsid w:val="00354C81"/>
    <w:rsid w:val="00355E99"/>
    <w:rsid w:val="00360251"/>
    <w:rsid w:val="00367C38"/>
    <w:rsid w:val="00370B42"/>
    <w:rsid w:val="00370ED2"/>
    <w:rsid w:val="003711E9"/>
    <w:rsid w:val="00372BAE"/>
    <w:rsid w:val="0038340F"/>
    <w:rsid w:val="00384540"/>
    <w:rsid w:val="00385328"/>
    <w:rsid w:val="003865AE"/>
    <w:rsid w:val="00386C24"/>
    <w:rsid w:val="00396A8E"/>
    <w:rsid w:val="003A0B3E"/>
    <w:rsid w:val="003A2D42"/>
    <w:rsid w:val="003A659B"/>
    <w:rsid w:val="003A7868"/>
    <w:rsid w:val="003A7EB8"/>
    <w:rsid w:val="003B119F"/>
    <w:rsid w:val="003B3569"/>
    <w:rsid w:val="003B36CF"/>
    <w:rsid w:val="003B687C"/>
    <w:rsid w:val="003C07A4"/>
    <w:rsid w:val="003C2C4D"/>
    <w:rsid w:val="003C3531"/>
    <w:rsid w:val="003C57F5"/>
    <w:rsid w:val="003C751A"/>
    <w:rsid w:val="003D1F35"/>
    <w:rsid w:val="003D2AFD"/>
    <w:rsid w:val="003D3C2B"/>
    <w:rsid w:val="003D6C42"/>
    <w:rsid w:val="003E250E"/>
    <w:rsid w:val="003F0080"/>
    <w:rsid w:val="003F072E"/>
    <w:rsid w:val="003F58AF"/>
    <w:rsid w:val="003F661B"/>
    <w:rsid w:val="0040102C"/>
    <w:rsid w:val="004048B5"/>
    <w:rsid w:val="00404E89"/>
    <w:rsid w:val="00405DB0"/>
    <w:rsid w:val="00406127"/>
    <w:rsid w:val="00411BA6"/>
    <w:rsid w:val="004124B4"/>
    <w:rsid w:val="0041324F"/>
    <w:rsid w:val="00414CD8"/>
    <w:rsid w:val="00417BD7"/>
    <w:rsid w:val="00417C01"/>
    <w:rsid w:val="00420221"/>
    <w:rsid w:val="00421001"/>
    <w:rsid w:val="00421268"/>
    <w:rsid w:val="00423098"/>
    <w:rsid w:val="00426770"/>
    <w:rsid w:val="00427EF0"/>
    <w:rsid w:val="00430D0E"/>
    <w:rsid w:val="004313E1"/>
    <w:rsid w:val="00431D58"/>
    <w:rsid w:val="00431F27"/>
    <w:rsid w:val="004337B3"/>
    <w:rsid w:val="0043486B"/>
    <w:rsid w:val="00435056"/>
    <w:rsid w:val="0043574C"/>
    <w:rsid w:val="00442525"/>
    <w:rsid w:val="00442DC0"/>
    <w:rsid w:val="004430F8"/>
    <w:rsid w:val="00445767"/>
    <w:rsid w:val="00446734"/>
    <w:rsid w:val="0044700F"/>
    <w:rsid w:val="0044721E"/>
    <w:rsid w:val="0044734B"/>
    <w:rsid w:val="00450DB5"/>
    <w:rsid w:val="00451B2D"/>
    <w:rsid w:val="00454AB6"/>
    <w:rsid w:val="00454AE3"/>
    <w:rsid w:val="004550E9"/>
    <w:rsid w:val="00457EB0"/>
    <w:rsid w:val="0046094C"/>
    <w:rsid w:val="00460B6E"/>
    <w:rsid w:val="00460BBC"/>
    <w:rsid w:val="0046248E"/>
    <w:rsid w:val="004644A8"/>
    <w:rsid w:val="00475431"/>
    <w:rsid w:val="004769EF"/>
    <w:rsid w:val="00477B03"/>
    <w:rsid w:val="00481111"/>
    <w:rsid w:val="00484D5C"/>
    <w:rsid w:val="004874D4"/>
    <w:rsid w:val="00494B7F"/>
    <w:rsid w:val="0049585C"/>
    <w:rsid w:val="004A0CD9"/>
    <w:rsid w:val="004A121C"/>
    <w:rsid w:val="004A2375"/>
    <w:rsid w:val="004A2BFB"/>
    <w:rsid w:val="004A3189"/>
    <w:rsid w:val="004A55D2"/>
    <w:rsid w:val="004A60AB"/>
    <w:rsid w:val="004A6774"/>
    <w:rsid w:val="004B767B"/>
    <w:rsid w:val="004B7B71"/>
    <w:rsid w:val="004C0EC8"/>
    <w:rsid w:val="004C1D94"/>
    <w:rsid w:val="004C2FF2"/>
    <w:rsid w:val="004C5C46"/>
    <w:rsid w:val="004C6D11"/>
    <w:rsid w:val="004C7799"/>
    <w:rsid w:val="004D1E8E"/>
    <w:rsid w:val="004D4BCE"/>
    <w:rsid w:val="004D7877"/>
    <w:rsid w:val="004E18B9"/>
    <w:rsid w:val="004E39F8"/>
    <w:rsid w:val="004E3E8D"/>
    <w:rsid w:val="004E78B8"/>
    <w:rsid w:val="004F0669"/>
    <w:rsid w:val="004F0F60"/>
    <w:rsid w:val="004F1072"/>
    <w:rsid w:val="004F2F19"/>
    <w:rsid w:val="004F585C"/>
    <w:rsid w:val="004F7EC2"/>
    <w:rsid w:val="0050640D"/>
    <w:rsid w:val="0050759D"/>
    <w:rsid w:val="0051331A"/>
    <w:rsid w:val="005143D6"/>
    <w:rsid w:val="005145BC"/>
    <w:rsid w:val="00515284"/>
    <w:rsid w:val="00521F85"/>
    <w:rsid w:val="005224C4"/>
    <w:rsid w:val="005229BC"/>
    <w:rsid w:val="005250E2"/>
    <w:rsid w:val="0052539E"/>
    <w:rsid w:val="00525EAC"/>
    <w:rsid w:val="00526299"/>
    <w:rsid w:val="00527906"/>
    <w:rsid w:val="005314C5"/>
    <w:rsid w:val="00535C81"/>
    <w:rsid w:val="00537721"/>
    <w:rsid w:val="00537B84"/>
    <w:rsid w:val="005472BD"/>
    <w:rsid w:val="00547518"/>
    <w:rsid w:val="0054761B"/>
    <w:rsid w:val="005533AE"/>
    <w:rsid w:val="00553CC6"/>
    <w:rsid w:val="00561BFD"/>
    <w:rsid w:val="005625B9"/>
    <w:rsid w:val="0056366C"/>
    <w:rsid w:val="005641CA"/>
    <w:rsid w:val="00565491"/>
    <w:rsid w:val="00566592"/>
    <w:rsid w:val="00570ADD"/>
    <w:rsid w:val="00570C3D"/>
    <w:rsid w:val="00575AF1"/>
    <w:rsid w:val="005763EC"/>
    <w:rsid w:val="0058266D"/>
    <w:rsid w:val="00586655"/>
    <w:rsid w:val="00591538"/>
    <w:rsid w:val="0059313B"/>
    <w:rsid w:val="00593AEE"/>
    <w:rsid w:val="00593B72"/>
    <w:rsid w:val="005940C6"/>
    <w:rsid w:val="005A0C1B"/>
    <w:rsid w:val="005A0CED"/>
    <w:rsid w:val="005A4711"/>
    <w:rsid w:val="005A7C9C"/>
    <w:rsid w:val="005B4279"/>
    <w:rsid w:val="005B5325"/>
    <w:rsid w:val="005B7BB4"/>
    <w:rsid w:val="005C07E3"/>
    <w:rsid w:val="005C3221"/>
    <w:rsid w:val="005C521A"/>
    <w:rsid w:val="005C5BA4"/>
    <w:rsid w:val="005C6D39"/>
    <w:rsid w:val="005C79F9"/>
    <w:rsid w:val="005D0447"/>
    <w:rsid w:val="005D076D"/>
    <w:rsid w:val="005D1127"/>
    <w:rsid w:val="005D153B"/>
    <w:rsid w:val="005D1F50"/>
    <w:rsid w:val="005D204C"/>
    <w:rsid w:val="005D34AD"/>
    <w:rsid w:val="005D3578"/>
    <w:rsid w:val="005E0E8A"/>
    <w:rsid w:val="005E2170"/>
    <w:rsid w:val="005E6FAA"/>
    <w:rsid w:val="005F02E4"/>
    <w:rsid w:val="005F37D9"/>
    <w:rsid w:val="005F3F7A"/>
    <w:rsid w:val="005F43EF"/>
    <w:rsid w:val="005F70C0"/>
    <w:rsid w:val="005F721F"/>
    <w:rsid w:val="006023AA"/>
    <w:rsid w:val="00602AAA"/>
    <w:rsid w:val="00603F66"/>
    <w:rsid w:val="006053E6"/>
    <w:rsid w:val="006056DB"/>
    <w:rsid w:val="006114B8"/>
    <w:rsid w:val="00614191"/>
    <w:rsid w:val="00616726"/>
    <w:rsid w:val="006217F9"/>
    <w:rsid w:val="00626BD2"/>
    <w:rsid w:val="0062789A"/>
    <w:rsid w:val="006302D7"/>
    <w:rsid w:val="0063102D"/>
    <w:rsid w:val="0063190B"/>
    <w:rsid w:val="00632459"/>
    <w:rsid w:val="00633AD1"/>
    <w:rsid w:val="0063411C"/>
    <w:rsid w:val="0063444E"/>
    <w:rsid w:val="00634F5E"/>
    <w:rsid w:val="0064013C"/>
    <w:rsid w:val="00641EBB"/>
    <w:rsid w:val="006435EA"/>
    <w:rsid w:val="00646851"/>
    <w:rsid w:val="00647FBF"/>
    <w:rsid w:val="00653709"/>
    <w:rsid w:val="00656A1E"/>
    <w:rsid w:val="00657F19"/>
    <w:rsid w:val="006600DB"/>
    <w:rsid w:val="00660E41"/>
    <w:rsid w:val="006620B5"/>
    <w:rsid w:val="00663455"/>
    <w:rsid w:val="006647A1"/>
    <w:rsid w:val="006661D5"/>
    <w:rsid w:val="00666A0C"/>
    <w:rsid w:val="00666DA1"/>
    <w:rsid w:val="00671D0E"/>
    <w:rsid w:val="006735FF"/>
    <w:rsid w:val="00675B57"/>
    <w:rsid w:val="00676E1E"/>
    <w:rsid w:val="006810FA"/>
    <w:rsid w:val="0068197A"/>
    <w:rsid w:val="0068252A"/>
    <w:rsid w:val="00683C69"/>
    <w:rsid w:val="006862DE"/>
    <w:rsid w:val="00687FE1"/>
    <w:rsid w:val="006914B7"/>
    <w:rsid w:val="0069386C"/>
    <w:rsid w:val="006A076D"/>
    <w:rsid w:val="006A2DD0"/>
    <w:rsid w:val="006A41F7"/>
    <w:rsid w:val="006A543D"/>
    <w:rsid w:val="006A59CB"/>
    <w:rsid w:val="006A6BDD"/>
    <w:rsid w:val="006B36E3"/>
    <w:rsid w:val="006B432F"/>
    <w:rsid w:val="006B4D56"/>
    <w:rsid w:val="006B73BB"/>
    <w:rsid w:val="006B7B28"/>
    <w:rsid w:val="006C14CF"/>
    <w:rsid w:val="006C1E69"/>
    <w:rsid w:val="006C2CB0"/>
    <w:rsid w:val="006C2F2B"/>
    <w:rsid w:val="006C31F4"/>
    <w:rsid w:val="006D1BF8"/>
    <w:rsid w:val="006D47E8"/>
    <w:rsid w:val="006D50F1"/>
    <w:rsid w:val="006D7E46"/>
    <w:rsid w:val="006E4BA4"/>
    <w:rsid w:val="006E5F66"/>
    <w:rsid w:val="006F0A8C"/>
    <w:rsid w:val="006F273A"/>
    <w:rsid w:val="006F3781"/>
    <w:rsid w:val="006F469E"/>
    <w:rsid w:val="006F6786"/>
    <w:rsid w:val="006F6E23"/>
    <w:rsid w:val="00700323"/>
    <w:rsid w:val="0070164A"/>
    <w:rsid w:val="00704BC1"/>
    <w:rsid w:val="00713AF9"/>
    <w:rsid w:val="007151FA"/>
    <w:rsid w:val="00717279"/>
    <w:rsid w:val="00717E93"/>
    <w:rsid w:val="007232F3"/>
    <w:rsid w:val="00724899"/>
    <w:rsid w:val="007279A3"/>
    <w:rsid w:val="00727FFC"/>
    <w:rsid w:val="0073014D"/>
    <w:rsid w:val="00731D75"/>
    <w:rsid w:val="00732C01"/>
    <w:rsid w:val="0073456C"/>
    <w:rsid w:val="00734633"/>
    <w:rsid w:val="007403DF"/>
    <w:rsid w:val="00746264"/>
    <w:rsid w:val="0076030B"/>
    <w:rsid w:val="00761109"/>
    <w:rsid w:val="0076166D"/>
    <w:rsid w:val="00762D5E"/>
    <w:rsid w:val="007637AF"/>
    <w:rsid w:val="00771CD8"/>
    <w:rsid w:val="00772C98"/>
    <w:rsid w:val="007800AE"/>
    <w:rsid w:val="0078180F"/>
    <w:rsid w:val="00790223"/>
    <w:rsid w:val="0079280E"/>
    <w:rsid w:val="007A2FCF"/>
    <w:rsid w:val="007A4042"/>
    <w:rsid w:val="007A4222"/>
    <w:rsid w:val="007A4692"/>
    <w:rsid w:val="007A47A1"/>
    <w:rsid w:val="007B10B9"/>
    <w:rsid w:val="007B2136"/>
    <w:rsid w:val="007B2979"/>
    <w:rsid w:val="007B48AD"/>
    <w:rsid w:val="007B4B84"/>
    <w:rsid w:val="007B5201"/>
    <w:rsid w:val="007C17CF"/>
    <w:rsid w:val="007C216E"/>
    <w:rsid w:val="007C4650"/>
    <w:rsid w:val="007D297A"/>
    <w:rsid w:val="007D400B"/>
    <w:rsid w:val="007D5AF9"/>
    <w:rsid w:val="007D6EED"/>
    <w:rsid w:val="007D6F4D"/>
    <w:rsid w:val="007D772C"/>
    <w:rsid w:val="007E01E2"/>
    <w:rsid w:val="007E0DF9"/>
    <w:rsid w:val="007E19F0"/>
    <w:rsid w:val="007E2773"/>
    <w:rsid w:val="007E3CBA"/>
    <w:rsid w:val="007F1FB5"/>
    <w:rsid w:val="007F2EE1"/>
    <w:rsid w:val="007F2EEF"/>
    <w:rsid w:val="007F3BE8"/>
    <w:rsid w:val="007F57B2"/>
    <w:rsid w:val="00803110"/>
    <w:rsid w:val="008049C7"/>
    <w:rsid w:val="00807F7F"/>
    <w:rsid w:val="00811528"/>
    <w:rsid w:val="00811CAC"/>
    <w:rsid w:val="00815D0E"/>
    <w:rsid w:val="0081620A"/>
    <w:rsid w:val="00824624"/>
    <w:rsid w:val="00830259"/>
    <w:rsid w:val="00833903"/>
    <w:rsid w:val="00841CA4"/>
    <w:rsid w:val="00843031"/>
    <w:rsid w:val="00844E8E"/>
    <w:rsid w:val="00851BCA"/>
    <w:rsid w:val="00853065"/>
    <w:rsid w:val="00855CB2"/>
    <w:rsid w:val="00855EA9"/>
    <w:rsid w:val="00862B62"/>
    <w:rsid w:val="00863350"/>
    <w:rsid w:val="00871150"/>
    <w:rsid w:val="008733AF"/>
    <w:rsid w:val="0087606C"/>
    <w:rsid w:val="00881028"/>
    <w:rsid w:val="00881170"/>
    <w:rsid w:val="00882B1D"/>
    <w:rsid w:val="0088305A"/>
    <w:rsid w:val="00883EDD"/>
    <w:rsid w:val="008850D3"/>
    <w:rsid w:val="00890408"/>
    <w:rsid w:val="00892E92"/>
    <w:rsid w:val="008961BC"/>
    <w:rsid w:val="008A130E"/>
    <w:rsid w:val="008A33B3"/>
    <w:rsid w:val="008A6859"/>
    <w:rsid w:val="008B01C9"/>
    <w:rsid w:val="008B07D8"/>
    <w:rsid w:val="008B10F4"/>
    <w:rsid w:val="008B18F2"/>
    <w:rsid w:val="008B7B1B"/>
    <w:rsid w:val="008C0E00"/>
    <w:rsid w:val="008C4147"/>
    <w:rsid w:val="008C4B02"/>
    <w:rsid w:val="008C4E92"/>
    <w:rsid w:val="008C54FE"/>
    <w:rsid w:val="008C5EDB"/>
    <w:rsid w:val="008D168D"/>
    <w:rsid w:val="008D229E"/>
    <w:rsid w:val="008D2C38"/>
    <w:rsid w:val="008D4C5D"/>
    <w:rsid w:val="008D6021"/>
    <w:rsid w:val="008D6716"/>
    <w:rsid w:val="008D695C"/>
    <w:rsid w:val="008D7EF3"/>
    <w:rsid w:val="008E0750"/>
    <w:rsid w:val="008E0F3C"/>
    <w:rsid w:val="008E1691"/>
    <w:rsid w:val="008E25EA"/>
    <w:rsid w:val="008E2CFC"/>
    <w:rsid w:val="008E31A2"/>
    <w:rsid w:val="008E52EF"/>
    <w:rsid w:val="008E5760"/>
    <w:rsid w:val="008E62C6"/>
    <w:rsid w:val="008F0413"/>
    <w:rsid w:val="008F30F2"/>
    <w:rsid w:val="008F7B03"/>
    <w:rsid w:val="00902D15"/>
    <w:rsid w:val="0090468A"/>
    <w:rsid w:val="0090487D"/>
    <w:rsid w:val="00907748"/>
    <w:rsid w:val="00907AED"/>
    <w:rsid w:val="00915890"/>
    <w:rsid w:val="00920A3D"/>
    <w:rsid w:val="009250E8"/>
    <w:rsid w:val="0092608E"/>
    <w:rsid w:val="00932F66"/>
    <w:rsid w:val="009330C7"/>
    <w:rsid w:val="0094049D"/>
    <w:rsid w:val="009408AA"/>
    <w:rsid w:val="00940B4B"/>
    <w:rsid w:val="009451F5"/>
    <w:rsid w:val="0095013A"/>
    <w:rsid w:val="00950E94"/>
    <w:rsid w:val="00950EB1"/>
    <w:rsid w:val="00954B57"/>
    <w:rsid w:val="00954EE2"/>
    <w:rsid w:val="00961660"/>
    <w:rsid w:val="00962F36"/>
    <w:rsid w:val="0096626A"/>
    <w:rsid w:val="00967217"/>
    <w:rsid w:val="00970033"/>
    <w:rsid w:val="00970417"/>
    <w:rsid w:val="009707A4"/>
    <w:rsid w:val="00970B66"/>
    <w:rsid w:val="009727D6"/>
    <w:rsid w:val="009742C7"/>
    <w:rsid w:val="0098034A"/>
    <w:rsid w:val="009804C3"/>
    <w:rsid w:val="00980B11"/>
    <w:rsid w:val="009826D6"/>
    <w:rsid w:val="00986986"/>
    <w:rsid w:val="00986D3C"/>
    <w:rsid w:val="0099389D"/>
    <w:rsid w:val="009A17D9"/>
    <w:rsid w:val="009A2605"/>
    <w:rsid w:val="009A2BDF"/>
    <w:rsid w:val="009A2FC7"/>
    <w:rsid w:val="009A3E07"/>
    <w:rsid w:val="009A5234"/>
    <w:rsid w:val="009A7284"/>
    <w:rsid w:val="009B1863"/>
    <w:rsid w:val="009B30E9"/>
    <w:rsid w:val="009B5AAC"/>
    <w:rsid w:val="009C020B"/>
    <w:rsid w:val="009C3AC3"/>
    <w:rsid w:val="009C43A9"/>
    <w:rsid w:val="009C4C2F"/>
    <w:rsid w:val="009C5D3D"/>
    <w:rsid w:val="009D1436"/>
    <w:rsid w:val="009D37C2"/>
    <w:rsid w:val="009D435E"/>
    <w:rsid w:val="009D438F"/>
    <w:rsid w:val="009D66D7"/>
    <w:rsid w:val="009D7DD4"/>
    <w:rsid w:val="009D7DFA"/>
    <w:rsid w:val="009E3D23"/>
    <w:rsid w:val="009E5302"/>
    <w:rsid w:val="009E6AE9"/>
    <w:rsid w:val="009E6C58"/>
    <w:rsid w:val="009E706A"/>
    <w:rsid w:val="009F1AC9"/>
    <w:rsid w:val="009F1B3A"/>
    <w:rsid w:val="009F294C"/>
    <w:rsid w:val="00A0025E"/>
    <w:rsid w:val="00A00924"/>
    <w:rsid w:val="00A065AA"/>
    <w:rsid w:val="00A06CAC"/>
    <w:rsid w:val="00A14431"/>
    <w:rsid w:val="00A147B2"/>
    <w:rsid w:val="00A15B02"/>
    <w:rsid w:val="00A20565"/>
    <w:rsid w:val="00A23E8E"/>
    <w:rsid w:val="00A23EE7"/>
    <w:rsid w:val="00A332DD"/>
    <w:rsid w:val="00A34648"/>
    <w:rsid w:val="00A4092F"/>
    <w:rsid w:val="00A50CDB"/>
    <w:rsid w:val="00A51AB5"/>
    <w:rsid w:val="00A51DD9"/>
    <w:rsid w:val="00A524F9"/>
    <w:rsid w:val="00A552EE"/>
    <w:rsid w:val="00A5620E"/>
    <w:rsid w:val="00A616D5"/>
    <w:rsid w:val="00A6227F"/>
    <w:rsid w:val="00A63026"/>
    <w:rsid w:val="00A6427A"/>
    <w:rsid w:val="00A67236"/>
    <w:rsid w:val="00A71399"/>
    <w:rsid w:val="00A71C0E"/>
    <w:rsid w:val="00A743A2"/>
    <w:rsid w:val="00A75694"/>
    <w:rsid w:val="00A76A8F"/>
    <w:rsid w:val="00A80E81"/>
    <w:rsid w:val="00A875CD"/>
    <w:rsid w:val="00A90358"/>
    <w:rsid w:val="00A9480D"/>
    <w:rsid w:val="00A95C8C"/>
    <w:rsid w:val="00AA000A"/>
    <w:rsid w:val="00AA0C4A"/>
    <w:rsid w:val="00AA2B2E"/>
    <w:rsid w:val="00AA317C"/>
    <w:rsid w:val="00AA3FB6"/>
    <w:rsid w:val="00AA40A9"/>
    <w:rsid w:val="00AA5F76"/>
    <w:rsid w:val="00AA76F2"/>
    <w:rsid w:val="00AB4927"/>
    <w:rsid w:val="00AB4F9B"/>
    <w:rsid w:val="00AB5D65"/>
    <w:rsid w:val="00AB5E8A"/>
    <w:rsid w:val="00AC0F48"/>
    <w:rsid w:val="00AC548F"/>
    <w:rsid w:val="00AC54C0"/>
    <w:rsid w:val="00AC6787"/>
    <w:rsid w:val="00AD2F18"/>
    <w:rsid w:val="00AD696D"/>
    <w:rsid w:val="00AE00BE"/>
    <w:rsid w:val="00AE2B25"/>
    <w:rsid w:val="00AE3749"/>
    <w:rsid w:val="00AE5190"/>
    <w:rsid w:val="00AE6708"/>
    <w:rsid w:val="00AE69DA"/>
    <w:rsid w:val="00AE6C09"/>
    <w:rsid w:val="00AF0A57"/>
    <w:rsid w:val="00AF33BE"/>
    <w:rsid w:val="00AF4F51"/>
    <w:rsid w:val="00AF50F6"/>
    <w:rsid w:val="00B02C3E"/>
    <w:rsid w:val="00B03151"/>
    <w:rsid w:val="00B033AF"/>
    <w:rsid w:val="00B03C34"/>
    <w:rsid w:val="00B0442B"/>
    <w:rsid w:val="00B05B96"/>
    <w:rsid w:val="00B05E97"/>
    <w:rsid w:val="00B06A26"/>
    <w:rsid w:val="00B1153F"/>
    <w:rsid w:val="00B15869"/>
    <w:rsid w:val="00B209E5"/>
    <w:rsid w:val="00B22CB3"/>
    <w:rsid w:val="00B24AA4"/>
    <w:rsid w:val="00B250E4"/>
    <w:rsid w:val="00B30753"/>
    <w:rsid w:val="00B3467C"/>
    <w:rsid w:val="00B3477F"/>
    <w:rsid w:val="00B3623D"/>
    <w:rsid w:val="00B37797"/>
    <w:rsid w:val="00B37BD5"/>
    <w:rsid w:val="00B421D7"/>
    <w:rsid w:val="00B433FE"/>
    <w:rsid w:val="00B43E9F"/>
    <w:rsid w:val="00B43F5F"/>
    <w:rsid w:val="00B47208"/>
    <w:rsid w:val="00B473AE"/>
    <w:rsid w:val="00B47F6F"/>
    <w:rsid w:val="00B510F2"/>
    <w:rsid w:val="00B53F01"/>
    <w:rsid w:val="00B5506F"/>
    <w:rsid w:val="00B627E7"/>
    <w:rsid w:val="00B62CB7"/>
    <w:rsid w:val="00B64C40"/>
    <w:rsid w:val="00B66520"/>
    <w:rsid w:val="00B66F58"/>
    <w:rsid w:val="00B71715"/>
    <w:rsid w:val="00B73C3B"/>
    <w:rsid w:val="00B75B7C"/>
    <w:rsid w:val="00B76BEA"/>
    <w:rsid w:val="00B83545"/>
    <w:rsid w:val="00B84B3E"/>
    <w:rsid w:val="00B87282"/>
    <w:rsid w:val="00B90A8B"/>
    <w:rsid w:val="00B924AD"/>
    <w:rsid w:val="00B92F51"/>
    <w:rsid w:val="00B94D46"/>
    <w:rsid w:val="00BA0234"/>
    <w:rsid w:val="00BA53D5"/>
    <w:rsid w:val="00BA578F"/>
    <w:rsid w:val="00BA617F"/>
    <w:rsid w:val="00BA6E50"/>
    <w:rsid w:val="00BA7E0D"/>
    <w:rsid w:val="00BB1AA7"/>
    <w:rsid w:val="00BB6B52"/>
    <w:rsid w:val="00BB7573"/>
    <w:rsid w:val="00BC10E4"/>
    <w:rsid w:val="00BC1D15"/>
    <w:rsid w:val="00BC406A"/>
    <w:rsid w:val="00BD045B"/>
    <w:rsid w:val="00BD0462"/>
    <w:rsid w:val="00BD24D2"/>
    <w:rsid w:val="00BD3078"/>
    <w:rsid w:val="00BD620D"/>
    <w:rsid w:val="00BD793E"/>
    <w:rsid w:val="00BE3049"/>
    <w:rsid w:val="00BE383F"/>
    <w:rsid w:val="00BE4AE9"/>
    <w:rsid w:val="00BF0E4E"/>
    <w:rsid w:val="00BF1263"/>
    <w:rsid w:val="00BF5C55"/>
    <w:rsid w:val="00BF79B6"/>
    <w:rsid w:val="00C01143"/>
    <w:rsid w:val="00C01CB8"/>
    <w:rsid w:val="00C01DEE"/>
    <w:rsid w:val="00C033D5"/>
    <w:rsid w:val="00C06EE8"/>
    <w:rsid w:val="00C10DDA"/>
    <w:rsid w:val="00C152A1"/>
    <w:rsid w:val="00C155D7"/>
    <w:rsid w:val="00C17073"/>
    <w:rsid w:val="00C20B74"/>
    <w:rsid w:val="00C30965"/>
    <w:rsid w:val="00C30FFA"/>
    <w:rsid w:val="00C3235D"/>
    <w:rsid w:val="00C325DE"/>
    <w:rsid w:val="00C343F2"/>
    <w:rsid w:val="00C34F9A"/>
    <w:rsid w:val="00C36788"/>
    <w:rsid w:val="00C41D24"/>
    <w:rsid w:val="00C42317"/>
    <w:rsid w:val="00C50169"/>
    <w:rsid w:val="00C51459"/>
    <w:rsid w:val="00C517E8"/>
    <w:rsid w:val="00C53EDB"/>
    <w:rsid w:val="00C559A6"/>
    <w:rsid w:val="00C55FDF"/>
    <w:rsid w:val="00C56600"/>
    <w:rsid w:val="00C605B6"/>
    <w:rsid w:val="00C619ED"/>
    <w:rsid w:val="00C62D8E"/>
    <w:rsid w:val="00C648EE"/>
    <w:rsid w:val="00C64EB9"/>
    <w:rsid w:val="00C65090"/>
    <w:rsid w:val="00C66188"/>
    <w:rsid w:val="00C70469"/>
    <w:rsid w:val="00C70C05"/>
    <w:rsid w:val="00C722E1"/>
    <w:rsid w:val="00C75D76"/>
    <w:rsid w:val="00C80D67"/>
    <w:rsid w:val="00C81BD6"/>
    <w:rsid w:val="00C83AE8"/>
    <w:rsid w:val="00C85BDF"/>
    <w:rsid w:val="00C8708F"/>
    <w:rsid w:val="00C8719B"/>
    <w:rsid w:val="00C87FE5"/>
    <w:rsid w:val="00C912BF"/>
    <w:rsid w:val="00C91631"/>
    <w:rsid w:val="00C91E48"/>
    <w:rsid w:val="00C92868"/>
    <w:rsid w:val="00C93D63"/>
    <w:rsid w:val="00C9541D"/>
    <w:rsid w:val="00CA08CF"/>
    <w:rsid w:val="00CA3C88"/>
    <w:rsid w:val="00CA4ED8"/>
    <w:rsid w:val="00CA7272"/>
    <w:rsid w:val="00CB0420"/>
    <w:rsid w:val="00CB259B"/>
    <w:rsid w:val="00CB39AE"/>
    <w:rsid w:val="00CB3D17"/>
    <w:rsid w:val="00CB44B5"/>
    <w:rsid w:val="00CB5717"/>
    <w:rsid w:val="00CB6034"/>
    <w:rsid w:val="00CB789B"/>
    <w:rsid w:val="00CC27DB"/>
    <w:rsid w:val="00CC5CF7"/>
    <w:rsid w:val="00CC6044"/>
    <w:rsid w:val="00CC6C5F"/>
    <w:rsid w:val="00CC790C"/>
    <w:rsid w:val="00CD1556"/>
    <w:rsid w:val="00CD4092"/>
    <w:rsid w:val="00CD7D76"/>
    <w:rsid w:val="00CE46BC"/>
    <w:rsid w:val="00CE5221"/>
    <w:rsid w:val="00CE67B4"/>
    <w:rsid w:val="00CE74D1"/>
    <w:rsid w:val="00CE7A54"/>
    <w:rsid w:val="00CF1014"/>
    <w:rsid w:val="00CF2FAA"/>
    <w:rsid w:val="00CF76C8"/>
    <w:rsid w:val="00D02DBD"/>
    <w:rsid w:val="00D1045A"/>
    <w:rsid w:val="00D12972"/>
    <w:rsid w:val="00D13BD0"/>
    <w:rsid w:val="00D147A3"/>
    <w:rsid w:val="00D204C7"/>
    <w:rsid w:val="00D25AA1"/>
    <w:rsid w:val="00D268B4"/>
    <w:rsid w:val="00D31007"/>
    <w:rsid w:val="00D34FE2"/>
    <w:rsid w:val="00D375EE"/>
    <w:rsid w:val="00D40C69"/>
    <w:rsid w:val="00D46546"/>
    <w:rsid w:val="00D46F5A"/>
    <w:rsid w:val="00D516CA"/>
    <w:rsid w:val="00D5535A"/>
    <w:rsid w:val="00D55E90"/>
    <w:rsid w:val="00D614BB"/>
    <w:rsid w:val="00D64BB7"/>
    <w:rsid w:val="00D64F34"/>
    <w:rsid w:val="00D660B0"/>
    <w:rsid w:val="00D67283"/>
    <w:rsid w:val="00D7333F"/>
    <w:rsid w:val="00D75132"/>
    <w:rsid w:val="00D76EEF"/>
    <w:rsid w:val="00D8245B"/>
    <w:rsid w:val="00D82B2F"/>
    <w:rsid w:val="00D84151"/>
    <w:rsid w:val="00D8422D"/>
    <w:rsid w:val="00D847E9"/>
    <w:rsid w:val="00D902CD"/>
    <w:rsid w:val="00D904B2"/>
    <w:rsid w:val="00D90FC4"/>
    <w:rsid w:val="00D929CD"/>
    <w:rsid w:val="00D92C94"/>
    <w:rsid w:val="00D966F4"/>
    <w:rsid w:val="00DA1BB1"/>
    <w:rsid w:val="00DA2E8B"/>
    <w:rsid w:val="00DB0019"/>
    <w:rsid w:val="00DB04B4"/>
    <w:rsid w:val="00DB0702"/>
    <w:rsid w:val="00DB4FF9"/>
    <w:rsid w:val="00DB76C4"/>
    <w:rsid w:val="00DC462F"/>
    <w:rsid w:val="00DC4EB9"/>
    <w:rsid w:val="00DC71C2"/>
    <w:rsid w:val="00DD23C2"/>
    <w:rsid w:val="00DD2461"/>
    <w:rsid w:val="00DD3AFB"/>
    <w:rsid w:val="00DD679C"/>
    <w:rsid w:val="00DD750E"/>
    <w:rsid w:val="00DD7E5D"/>
    <w:rsid w:val="00DE166C"/>
    <w:rsid w:val="00DE32C5"/>
    <w:rsid w:val="00DE57E6"/>
    <w:rsid w:val="00DE7FB2"/>
    <w:rsid w:val="00DF157B"/>
    <w:rsid w:val="00DF1D8D"/>
    <w:rsid w:val="00DF3DDA"/>
    <w:rsid w:val="00DF54DC"/>
    <w:rsid w:val="00DF7F5B"/>
    <w:rsid w:val="00E030CA"/>
    <w:rsid w:val="00E03F8C"/>
    <w:rsid w:val="00E04CFF"/>
    <w:rsid w:val="00E05933"/>
    <w:rsid w:val="00E07179"/>
    <w:rsid w:val="00E101B4"/>
    <w:rsid w:val="00E105E2"/>
    <w:rsid w:val="00E16046"/>
    <w:rsid w:val="00E16D9D"/>
    <w:rsid w:val="00E228E8"/>
    <w:rsid w:val="00E24298"/>
    <w:rsid w:val="00E2472D"/>
    <w:rsid w:val="00E2559F"/>
    <w:rsid w:val="00E27D72"/>
    <w:rsid w:val="00E31ABC"/>
    <w:rsid w:val="00E31CA5"/>
    <w:rsid w:val="00E324F8"/>
    <w:rsid w:val="00E33D46"/>
    <w:rsid w:val="00E45055"/>
    <w:rsid w:val="00E54943"/>
    <w:rsid w:val="00E57566"/>
    <w:rsid w:val="00E61C30"/>
    <w:rsid w:val="00E623E5"/>
    <w:rsid w:val="00E62813"/>
    <w:rsid w:val="00E63A87"/>
    <w:rsid w:val="00E64DEA"/>
    <w:rsid w:val="00E660ED"/>
    <w:rsid w:val="00E71E46"/>
    <w:rsid w:val="00E73793"/>
    <w:rsid w:val="00E74BF5"/>
    <w:rsid w:val="00E779B7"/>
    <w:rsid w:val="00E8075D"/>
    <w:rsid w:val="00E81FEE"/>
    <w:rsid w:val="00E91AD2"/>
    <w:rsid w:val="00E92C7B"/>
    <w:rsid w:val="00E92DCF"/>
    <w:rsid w:val="00E9478D"/>
    <w:rsid w:val="00EA05C3"/>
    <w:rsid w:val="00EA3519"/>
    <w:rsid w:val="00EA406E"/>
    <w:rsid w:val="00EA436A"/>
    <w:rsid w:val="00EB0C0B"/>
    <w:rsid w:val="00EB2173"/>
    <w:rsid w:val="00EB2D8C"/>
    <w:rsid w:val="00EB4777"/>
    <w:rsid w:val="00EB52EC"/>
    <w:rsid w:val="00EB5CAB"/>
    <w:rsid w:val="00EB5CF2"/>
    <w:rsid w:val="00EC1247"/>
    <w:rsid w:val="00EC2590"/>
    <w:rsid w:val="00EC63AB"/>
    <w:rsid w:val="00EC6842"/>
    <w:rsid w:val="00ED006D"/>
    <w:rsid w:val="00ED0847"/>
    <w:rsid w:val="00ED138C"/>
    <w:rsid w:val="00ED143C"/>
    <w:rsid w:val="00ED38C8"/>
    <w:rsid w:val="00ED726C"/>
    <w:rsid w:val="00ED7E07"/>
    <w:rsid w:val="00EE029D"/>
    <w:rsid w:val="00EE1D05"/>
    <w:rsid w:val="00EE2598"/>
    <w:rsid w:val="00EE6DC4"/>
    <w:rsid w:val="00EF049F"/>
    <w:rsid w:val="00EF223C"/>
    <w:rsid w:val="00EF5D3E"/>
    <w:rsid w:val="00EF77EF"/>
    <w:rsid w:val="00F01B05"/>
    <w:rsid w:val="00F02F2F"/>
    <w:rsid w:val="00F04E15"/>
    <w:rsid w:val="00F066AA"/>
    <w:rsid w:val="00F10E22"/>
    <w:rsid w:val="00F12914"/>
    <w:rsid w:val="00F20530"/>
    <w:rsid w:val="00F24A3C"/>
    <w:rsid w:val="00F26BAD"/>
    <w:rsid w:val="00F273E0"/>
    <w:rsid w:val="00F3417E"/>
    <w:rsid w:val="00F36B75"/>
    <w:rsid w:val="00F371FE"/>
    <w:rsid w:val="00F37380"/>
    <w:rsid w:val="00F40E91"/>
    <w:rsid w:val="00F41940"/>
    <w:rsid w:val="00F45C42"/>
    <w:rsid w:val="00F4771F"/>
    <w:rsid w:val="00F4790F"/>
    <w:rsid w:val="00F47A23"/>
    <w:rsid w:val="00F519D9"/>
    <w:rsid w:val="00F52986"/>
    <w:rsid w:val="00F52F9C"/>
    <w:rsid w:val="00F53A47"/>
    <w:rsid w:val="00F53B6A"/>
    <w:rsid w:val="00F54C60"/>
    <w:rsid w:val="00F54C74"/>
    <w:rsid w:val="00F54E33"/>
    <w:rsid w:val="00F5748F"/>
    <w:rsid w:val="00F57664"/>
    <w:rsid w:val="00F64601"/>
    <w:rsid w:val="00F64D00"/>
    <w:rsid w:val="00F66753"/>
    <w:rsid w:val="00F715C1"/>
    <w:rsid w:val="00F7226A"/>
    <w:rsid w:val="00F7270E"/>
    <w:rsid w:val="00F72F00"/>
    <w:rsid w:val="00F72F6E"/>
    <w:rsid w:val="00F73483"/>
    <w:rsid w:val="00F734D8"/>
    <w:rsid w:val="00F73AAF"/>
    <w:rsid w:val="00F74A55"/>
    <w:rsid w:val="00F92B22"/>
    <w:rsid w:val="00F96452"/>
    <w:rsid w:val="00FA0A80"/>
    <w:rsid w:val="00FA0E49"/>
    <w:rsid w:val="00FA101B"/>
    <w:rsid w:val="00FA17F4"/>
    <w:rsid w:val="00FA4277"/>
    <w:rsid w:val="00FA4364"/>
    <w:rsid w:val="00FA4398"/>
    <w:rsid w:val="00FA4DA2"/>
    <w:rsid w:val="00FA5DCC"/>
    <w:rsid w:val="00FB0841"/>
    <w:rsid w:val="00FB0F8D"/>
    <w:rsid w:val="00FB16C1"/>
    <w:rsid w:val="00FB1B72"/>
    <w:rsid w:val="00FB5E96"/>
    <w:rsid w:val="00FB732E"/>
    <w:rsid w:val="00FB7492"/>
    <w:rsid w:val="00FC0D6C"/>
    <w:rsid w:val="00FC241C"/>
    <w:rsid w:val="00FC4553"/>
    <w:rsid w:val="00FC595E"/>
    <w:rsid w:val="00FC5B34"/>
    <w:rsid w:val="00FD2676"/>
    <w:rsid w:val="00FD493E"/>
    <w:rsid w:val="00FD7391"/>
    <w:rsid w:val="00FD7668"/>
    <w:rsid w:val="00FE0175"/>
    <w:rsid w:val="00FE24E8"/>
    <w:rsid w:val="00FE30AA"/>
    <w:rsid w:val="00FE398D"/>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F85A"/>
  <w15:docId w15:val="{43040AED-D780-473C-B1EA-739AF27C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Quattrocento Sans" w:eastAsia="Quattrocento Sans" w:hAnsi="Quattrocento Sans" w:cs="Quattrocento Sans"/>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center"/>
      <w:outlineLvl w:val="1"/>
    </w:pPr>
    <w:rPr>
      <w:rFonts w:ascii="Courier New" w:hAnsi="Courier New"/>
      <w:b/>
      <w:spacing w:val="-2"/>
      <w:sz w:val="32"/>
    </w:rPr>
  </w:style>
  <w:style w:type="paragraph" w:styleId="Heading3">
    <w:name w:val="heading 3"/>
    <w:basedOn w:val="Normal"/>
    <w:next w:val="Normal"/>
    <w:uiPriority w:val="9"/>
    <w:semiHidden/>
    <w:unhideWhenUsed/>
    <w:qFormat/>
    <w:pPr>
      <w:keepNext/>
      <w:overflowPunct w:val="0"/>
      <w:jc w:val="both"/>
      <w:outlineLvl w:val="2"/>
    </w:pPr>
    <w:rPr>
      <w:rFonts w:ascii="Wingdings" w:hAnsi="Wingdings" w:cs="Symbol"/>
      <w:b/>
      <w:bCs/>
    </w:rPr>
  </w:style>
  <w:style w:type="paragraph" w:styleId="Heading4">
    <w:name w:val="heading 4"/>
    <w:basedOn w:val="Normal"/>
    <w:next w:val="Normal"/>
    <w:uiPriority w:val="9"/>
    <w:semiHidden/>
    <w:unhideWhenUsed/>
    <w:qFormat/>
    <w:pPr>
      <w:keepNext/>
      <w:autoSpaceDE w:val="0"/>
      <w:autoSpaceDN w:val="0"/>
      <w:adjustRightInd w:val="0"/>
      <w:jc w:val="center"/>
      <w:outlineLvl w:val="3"/>
    </w:pPr>
    <w:rPr>
      <w:sz w:val="28"/>
      <w:szCs w:val="20"/>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uiPriority w:val="9"/>
    <w:semiHidden/>
    <w:unhideWhenUsed/>
    <w:qFormat/>
    <w:pPr>
      <w:keepNext/>
      <w:jc w:val="both"/>
      <w:outlineLvl w:val="5"/>
    </w:pPr>
    <w:rPr>
      <w:rFonts w:ascii="Courier New" w:hAnsi="Courier New"/>
      <w:b/>
      <w:sz w:val="28"/>
      <w:szCs w:val="20"/>
    </w:rPr>
  </w:style>
  <w:style w:type="paragraph" w:styleId="Heading9">
    <w:name w:val="heading 9"/>
    <w:basedOn w:val="Normal"/>
    <w:next w:val="Normal"/>
    <w:pPr>
      <w:spacing w:before="240" w:after="60"/>
      <w:outlineLvl w:val="8"/>
    </w:pPr>
    <w:rPr>
      <w:rFonts w:ascii="Calibri Light" w:eastAsia="Times New Roman"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Courier New" w:hAnsi="Courier New"/>
      <w:b/>
      <w:sz w:val="22"/>
      <w:szCs w:val="20"/>
    </w:rPr>
  </w:style>
  <w:style w:type="paragraph" w:customStyle="1" w:styleId="Heading11">
    <w:name w:val="Heading 11"/>
    <w:aliases w:val="Heading 1(Report Only),Chapter,Heading 1(Report Only)1,Chapter1"/>
    <w:basedOn w:val="Normal"/>
    <w:next w:val="Normal"/>
    <w:pPr>
      <w:keepNext/>
      <w:spacing w:before="240" w:after="60"/>
    </w:pPr>
    <w:rPr>
      <w:rFonts w:ascii="Symbol" w:hAnsi="Symbol" w:cs="Times New Roman"/>
      <w:b/>
      <w:bCs/>
      <w:kern w:val="32"/>
      <w:sz w:val="32"/>
      <w:szCs w:val="32"/>
    </w:rPr>
  </w:style>
  <w:style w:type="paragraph" w:customStyle="1" w:styleId="Char1">
    <w:name w:val="Char1"/>
    <w:basedOn w:val="Normal"/>
    <w:pPr>
      <w:spacing w:after="160" w:line="240" w:lineRule="atLeast"/>
    </w:pPr>
    <w:rPr>
      <w:rFonts w:ascii="Cambria Math" w:hAnsi="Cambria Math" w:cs="Cambria Math"/>
      <w:sz w:val="20"/>
      <w:szCs w:val="20"/>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rPr>
      <w:rFonts w:ascii="Wingdings" w:hAnsi="Wingdings" w:cs="Times New Roman"/>
      <w:szCs w:val="20"/>
    </w:rPr>
  </w:style>
  <w:style w:type="paragraph" w:styleId="BodyTextIndent">
    <w:name w:val="Body Text Indent"/>
    <w:basedOn w:val="Normal"/>
    <w:pPr>
      <w:overflowPunct w:val="0"/>
      <w:ind w:left="1440"/>
      <w:jc w:val="both"/>
    </w:pPr>
    <w:rPr>
      <w:rFonts w:ascii="Wingdings" w:hAnsi="Wingdings" w:cs="Symbol"/>
    </w:rPr>
  </w:style>
  <w:style w:type="paragraph" w:styleId="BodyTextIndent2">
    <w:name w:val="Body Text Indent 2"/>
    <w:basedOn w:val="Normal"/>
    <w:pPr>
      <w:overflowPunct w:val="0"/>
      <w:ind w:left="1440"/>
      <w:jc w:val="both"/>
    </w:pPr>
    <w:rPr>
      <w:rFonts w:ascii="Wingdings" w:hAnsi="Wingdings"/>
      <w:color w:val="FF0000"/>
      <w:spacing w:val="-2"/>
    </w:rPr>
  </w:style>
  <w:style w:type="paragraph" w:styleId="BodyText2">
    <w:name w:val="Body Text 2"/>
    <w:basedOn w:val="Normal"/>
    <w:pPr>
      <w:autoSpaceDE w:val="0"/>
      <w:autoSpaceDN w:val="0"/>
      <w:adjustRightInd w:val="0"/>
      <w:jc w:val="both"/>
    </w:pPr>
    <w:rPr>
      <w:sz w:val="26"/>
      <w:szCs w:val="20"/>
    </w:rPr>
  </w:style>
  <w:style w:type="paragraph" w:styleId="Caption">
    <w:name w:val="caption"/>
    <w:basedOn w:val="Normal"/>
    <w:next w:val="Normal"/>
    <w:pPr>
      <w:keepNext/>
      <w:jc w:val="center"/>
    </w:pPr>
    <w:rPr>
      <w:b/>
      <w:spacing w:val="24"/>
    </w:rPr>
  </w:style>
  <w:style w:type="paragraph" w:customStyle="1" w:styleId="BodyText1">
    <w:name w:val="Body Text1"/>
    <w:aliases w:val="bt Char Char Char Char Char Char Char,bt Char Char Char Char Char Char Char Char Char Char Char Char,bt Char Char Char Char Char Char Char Char Char Char Char Char Char Char Char Cha"/>
    <w:basedOn w:val="Normal"/>
    <w:pPr>
      <w:jc w:val="both"/>
    </w:pPr>
    <w:rPr>
      <w:rFonts w:ascii="Wingdings" w:hAnsi="Wingdings"/>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1">
    <w:name w:val="Char11"/>
    <w:basedOn w:val="Normal"/>
    <w:pPr>
      <w:spacing w:after="160" w:line="240" w:lineRule="atLeast"/>
    </w:pPr>
    <w:rPr>
      <w:rFonts w:ascii="Cambria Math" w:hAnsi="Cambria Math" w:cs="Cambria Math"/>
      <w:sz w:val="20"/>
      <w:szCs w:val="20"/>
    </w:rPr>
  </w:style>
  <w:style w:type="paragraph" w:styleId="Header">
    <w:name w:val="header"/>
    <w:basedOn w:val="Normal"/>
  </w:style>
  <w:style w:type="character" w:styleId="Hyperlink">
    <w:name w:val="Hyperlink"/>
    <w:rPr>
      <w:color w:val="0000FF"/>
      <w:w w:val="100"/>
      <w:position w:val="-1"/>
      <w:u w:val="single"/>
      <w:effect w:val="none"/>
      <w:vertAlign w:val="baseline"/>
      <w:cs w:val="0"/>
      <w:em w:val="none"/>
    </w:rPr>
  </w:style>
  <w:style w:type="paragraph" w:customStyle="1" w:styleId="ColorfulList-Accent11">
    <w:name w:val="Colorful List - Accent 11"/>
    <w:aliases w:val="List Paragraph1,List Paragraph 1,Bullet L1,List Paragraph11"/>
    <w:basedOn w:val="Normal"/>
    <w:pPr>
      <w:ind w:left="720"/>
      <w:contextualSpacing/>
    </w:pPr>
  </w:style>
  <w:style w:type="character" w:customStyle="1" w:styleId="HeaderChar">
    <w:name w:val="Header Char"/>
    <w:rPr>
      <w:w w:val="100"/>
      <w:position w:val="-1"/>
      <w:sz w:val="24"/>
      <w:szCs w:val="24"/>
      <w:effect w:val="none"/>
      <w:vertAlign w:val="baseline"/>
      <w:cs w:val="0"/>
      <w:em w:val="none"/>
    </w:rPr>
  </w:style>
  <w:style w:type="character" w:customStyle="1" w:styleId="FooterChar">
    <w:name w:val="Footer Char"/>
    <w:rPr>
      <w:rFonts w:ascii="Wingdings" w:hAnsi="Wingdings"/>
      <w:w w:val="100"/>
      <w:position w:val="-1"/>
      <w:sz w:val="24"/>
      <w:effect w:val="none"/>
      <w:vertAlign w:val="baseline"/>
      <w:cs w:val="0"/>
      <w:em w:val="none"/>
    </w:rPr>
  </w:style>
  <w:style w:type="paragraph" w:customStyle="1" w:styleId="Style14ptJustifiedFirstline127cm">
    <w:name w:val="Style 14 pt Justified First line:  1.27 cm"/>
    <w:basedOn w:val="Normal"/>
    <w:pPr>
      <w:spacing w:before="60" w:after="60"/>
      <w:ind w:firstLine="720"/>
      <w:jc w:val="both"/>
    </w:pPr>
    <w:rPr>
      <w:sz w:val="28"/>
      <w:szCs w:val="20"/>
    </w:rPr>
  </w:style>
  <w:style w:type="paragraph" w:styleId="BalloonText">
    <w:name w:val="Balloon Text"/>
    <w:basedOn w:val="Normal"/>
    <w:rPr>
      <w:rFonts w:ascii=".VnArial" w:hAnsi=".VnArial" w:cs="Times New Roman"/>
      <w:sz w:val="18"/>
      <w:szCs w:val="18"/>
    </w:rPr>
  </w:style>
  <w:style w:type="character" w:customStyle="1" w:styleId="BalloonTextChar">
    <w:name w:val="Balloon Text Char"/>
    <w:rPr>
      <w:rFonts w:ascii=".VnArial" w:hAnsi=".VnArial" w:cs=".VnArial"/>
      <w:w w:val="100"/>
      <w:position w:val="-1"/>
      <w:sz w:val="18"/>
      <w:szCs w:val="18"/>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khoan">
    <w:name w:val="khoan"/>
    <w:basedOn w:val="Normal"/>
    <w:pPr>
      <w:widowControl w:val="0"/>
      <w:tabs>
        <w:tab w:val="left" w:pos="2415"/>
      </w:tabs>
      <w:spacing w:before="120" w:after="120"/>
      <w:jc w:val="both"/>
    </w:pPr>
    <w:rPr>
      <w:rFonts w:ascii="Wingdings" w:hAnsi="Wingdings"/>
      <w:sz w:val="28"/>
      <w:szCs w:val="28"/>
      <w:lang w:val="pt-BR"/>
    </w:rPr>
  </w:style>
  <w:style w:type="character" w:customStyle="1" w:styleId="normal-h1">
    <w:name w:val="normal-h1"/>
    <w:rPr>
      <w:rFonts w:ascii="Segoe UI" w:hAnsi="Segoe UI"/>
      <w:w w:val="100"/>
      <w:position w:val="-1"/>
      <w:sz w:val="28"/>
      <w:effect w:val="none"/>
      <w:vertAlign w:val="baseline"/>
      <w:cs w:val="0"/>
      <w:em w:val="none"/>
    </w:rPr>
  </w:style>
  <w:style w:type="paragraph" w:customStyle="1" w:styleId="n-dieund-p">
    <w:name w:val="n-dieund-p"/>
    <w:basedOn w:val="Normal"/>
    <w:pPr>
      <w:jc w:val="both"/>
    </w:pPr>
    <w:rPr>
      <w:sz w:val="20"/>
      <w:szCs w:val="20"/>
    </w:rPr>
  </w:style>
  <w:style w:type="character" w:styleId="Strong">
    <w:name w:val="Strong"/>
    <w:rPr>
      <w:b/>
      <w:bCs/>
      <w:w w:val="100"/>
      <w:position w:val="-1"/>
      <w:effect w:val="none"/>
      <w:vertAlign w:val="baseline"/>
      <w:cs w:val="0"/>
      <w:em w:val="none"/>
    </w:rPr>
  </w:style>
  <w:style w:type="character" w:customStyle="1" w:styleId="Heading1Char">
    <w:name w:val="Heading 1 Char"/>
    <w:aliases w:val="Heading 1(Report Only) Char,Chapter Char,Heading 1(Report Only)1 Char,Chapter1 Char"/>
    <w:rPr>
      <w:rFonts w:ascii="Symbol" w:hAnsi="Symbol" w:cs="Symbol"/>
      <w:b/>
      <w:bCs/>
      <w:w w:val="100"/>
      <w:kern w:val="32"/>
      <w:position w:val="-1"/>
      <w:sz w:val="32"/>
      <w:szCs w:val="32"/>
      <w:effect w:val="none"/>
      <w:vertAlign w:val="baseline"/>
      <w:cs w:val="0"/>
      <w:em w:val="none"/>
    </w:rPr>
  </w:style>
  <w:style w:type="character" w:customStyle="1" w:styleId="ACharacterBI">
    <w:name w:val="A_Character_B_I"/>
    <w:rPr>
      <w:b/>
      <w:i/>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NormalWeb1">
    <w:name w:val="Normal (Web)1"/>
    <w:aliases w:val="Char Char Char Char Char Char Char Char Char Char,Char Char Char Char Char Char Char Char Char Char Char,Normal (Web) Char Char,Char Char25,Char Char Char"/>
    <w:basedOn w:val="Normal"/>
    <w:qFormat/>
    <w:pPr>
      <w:spacing w:before="100" w:beforeAutospacing="1" w:after="100" w:afterAutospacing="1"/>
    </w:pPr>
    <w:rPr>
      <w:rFonts w:ascii="Times New Roman" w:eastAsia="Times New Roman" w:hAnsi="Times New Roman" w:cs="Times New Roman"/>
    </w:rPr>
  </w:style>
  <w:style w:type="character" w:customStyle="1" w:styleId="ColorfulList-Accent1Char">
    <w:name w:val="Colorful List - Accent 1 Char"/>
    <w:aliases w:val="List Paragraph1 Char,List Paragraph 1 Char,Bullet L1 Char,Colorful List - Accent 11 Char,List Paragraph11 Char"/>
    <w:rPr>
      <w:w w:val="100"/>
      <w:position w:val="-1"/>
      <w:sz w:val="24"/>
      <w:szCs w:val="24"/>
      <w:effect w:val="none"/>
      <w:vertAlign w:val="baseline"/>
      <w:cs w:val="0"/>
      <w:em w:val="none"/>
    </w:rPr>
  </w:style>
  <w:style w:type="paragraph" w:customStyle="1" w:styleId="Noidung">
    <w:name w:val="Noi dung"/>
    <w:basedOn w:val="Normal"/>
    <w:pPr>
      <w:spacing w:before="120"/>
      <w:ind w:firstLine="567"/>
      <w:jc w:val="both"/>
    </w:pPr>
    <w:rPr>
      <w:rFonts w:ascii=".VnTime" w:eastAsia="Times New Roman" w:hAnsi=".VnTime" w:cs="Times New Roman"/>
      <w:sz w:val="28"/>
      <w:szCs w:val="20"/>
    </w:rPr>
  </w:style>
  <w:style w:type="character" w:customStyle="1" w:styleId="Heading9Char">
    <w:name w:val="Heading 9 Char"/>
    <w:rPr>
      <w:rFonts w:ascii="Calibri Light" w:eastAsia="Times New Roman" w:hAnsi="Calibri Light" w:cs="Times New Roman"/>
      <w:w w:val="100"/>
      <w:position w:val="-1"/>
      <w:sz w:val="22"/>
      <w:szCs w:val="22"/>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rPr>
      <w:rFonts w:ascii="Wingdings" w:hAnsi="Wingdings"/>
      <w:w w:val="100"/>
      <w:position w:val="-1"/>
      <w:sz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ormalWebChar">
    <w:name w:val="Normal (Web) Char"/>
    <w:aliases w:val="Char Char Char Char Char Char Char Char Char Char Char1,Char Char Char Char Char Char Char Char Char Char Char Char,Normal (Web) Char Char Char,Char Char25 Char,Char Char Char Char"/>
    <w:rPr>
      <w:rFonts w:ascii="Times New Roman" w:eastAsia="Times New Roman" w:hAnsi="Times New Roman" w:cs="Times New Roman"/>
      <w:w w:val="100"/>
      <w:position w:val="-1"/>
      <w:sz w:val="24"/>
      <w:szCs w:val="24"/>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character" w:customStyle="1" w:styleId="Other">
    <w:name w:val="Other_"/>
    <w:rPr>
      <w:w w:val="100"/>
      <w:position w:val="-1"/>
      <w:sz w:val="26"/>
      <w:szCs w:val="26"/>
      <w:effect w:val="none"/>
      <w:shd w:val="clear" w:color="auto" w:fill="FFFFFF"/>
      <w:vertAlign w:val="baseline"/>
      <w:cs w:val="0"/>
      <w:em w:val="none"/>
    </w:rPr>
  </w:style>
  <w:style w:type="paragraph" w:customStyle="1" w:styleId="Other0">
    <w:name w:val="Other"/>
    <w:basedOn w:val="Normal"/>
    <w:pPr>
      <w:widowControl w:val="0"/>
      <w:shd w:val="clear" w:color="auto" w:fill="FFFFFF"/>
      <w:spacing w:after="220" w:line="259" w:lineRule="auto"/>
      <w:ind w:firstLine="400"/>
    </w:pPr>
    <w:rPr>
      <w:sz w:val="26"/>
      <w:szCs w:val="26"/>
    </w:rPr>
  </w:style>
  <w:style w:type="paragraph" w:styleId="FootnoteText">
    <w:name w:val="footnote text"/>
    <w:basedOn w:val="Normal"/>
    <w:uiPriority w:val="99"/>
    <w:rPr>
      <w:rFonts w:ascii="Times New Roman" w:eastAsia="Times New Roman" w:hAnsi="Times New Roman" w:cs="Times New Roman"/>
      <w:sz w:val="20"/>
      <w:szCs w:val="20"/>
    </w:rPr>
  </w:style>
  <w:style w:type="character" w:customStyle="1" w:styleId="FootnoteTextChar">
    <w:name w:val="Footnote Text Char"/>
    <w:uiPriority w:val="99"/>
    <w:rPr>
      <w:rFonts w:ascii="Times New Roman" w:eastAsia="Times New Roman" w:hAnsi="Times New Roman" w:cs="Times New Roman"/>
      <w:w w:val="100"/>
      <w:position w:val="-1"/>
      <w:effect w:val="none"/>
      <w:vertAlign w:val="baseline"/>
      <w:cs w:val="0"/>
      <w:em w:val="none"/>
    </w:rPr>
  </w:style>
  <w:style w:type="character" w:styleId="FootnoteReference">
    <w:name w:val="footnote reference"/>
    <w:uiPriority w:val="99"/>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B62CB7"/>
    <w:pPr>
      <w:ind w:left="720"/>
      <w:contextualSpacing/>
    </w:pPr>
  </w:style>
  <w:style w:type="character" w:customStyle="1" w:styleId="UnresolvedMention1">
    <w:name w:val="Unresolved Mention1"/>
    <w:basedOn w:val="DefaultParagraphFont"/>
    <w:uiPriority w:val="99"/>
    <w:semiHidden/>
    <w:unhideWhenUsed/>
    <w:rsid w:val="00DB0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059601">
      <w:bodyDiv w:val="1"/>
      <w:marLeft w:val="0"/>
      <w:marRight w:val="0"/>
      <w:marTop w:val="0"/>
      <w:marBottom w:val="0"/>
      <w:divBdr>
        <w:top w:val="none" w:sz="0" w:space="0" w:color="auto"/>
        <w:left w:val="none" w:sz="0" w:space="0" w:color="auto"/>
        <w:bottom w:val="none" w:sz="0" w:space="0" w:color="auto"/>
        <w:right w:val="none" w:sz="0" w:space="0" w:color="auto"/>
      </w:divBdr>
    </w:div>
    <w:div w:id="210248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4acrBKG8hwKICnpaCQMh321Ifw==">AMUW2mVX3/0MlEvZjXzdN7j0ZYTJafHzVyjChK645bJ7uCRJab9V1Nxhnl4IUiCw+3I+U577gEg2nr5buFKStgrQ92zIObanYlQrSerkDY+Z3gFvEFHTpI60uvUg5mresMdFwDuMDLynVTOXOhEgRRG9DEdzq32/VFc+TatYv2b5LV7ggGzhdKw=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AC00F3-6390-40BF-A0ED-1C4A912A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10</Pages>
  <Words>3413</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Anh Tuan</dc:creator>
  <cp:lastModifiedBy>Le Thi Khanh Linh</cp:lastModifiedBy>
  <cp:revision>2453</cp:revision>
  <dcterms:created xsi:type="dcterms:W3CDTF">2021-11-22T02:28:00Z</dcterms:created>
  <dcterms:modified xsi:type="dcterms:W3CDTF">2024-06-25T11:37:00Z</dcterms:modified>
</cp:coreProperties>
</file>